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31b StVZO 2012 — Überprüfung mitzuführender Gegenstände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Führer von Fahrzeugen sind verpflichtet, zuständigen Personen auf Verlangen folgende mitzuführende Gegenstände vorzuzeigen und zur Prüfung des vorschriftsmäßigen Zustands auszuhändigen:</w:t>
      </w:r>
    </w:p>
    <w:p>
      <w:pPr>
        <w:ind w:left="420"/>
      </w:pPr>
      <w:r>
        <w:t xml:space="preserve">1. Feuerlöscher (§ 35g Absatz 1),</w:t>
      </w:r>
    </w:p>
    <w:p>
      <w:pPr>
        <w:ind w:left="420"/>
      </w:pPr>
      <w:r>
        <w:t xml:space="preserve">2. Erste-Hilfe-Material (§ 35h Absatz 1, 3 und 4),</w:t>
      </w:r>
    </w:p>
    <w:p>
      <w:pPr>
        <w:ind w:left="420"/>
      </w:pPr>
      <w:r>
        <w:t xml:space="preserve">3. Unterlegkeile (§ 41 Absatz 14),</w:t>
      </w:r>
    </w:p>
    <w:p>
      <w:pPr>
        <w:ind w:left="420"/>
      </w:pPr>
      <w:r>
        <w:t xml:space="preserve">4. Warndreiecke und Warnleuchten (§ 53a Absatz 2),</w:t>
      </w:r>
    </w:p>
    <w:p>
      <w:pPr>
        <w:ind w:left="420"/>
      </w:pPr>
      <w:r>
        <w:t xml:space="preserve">4a. Warnweste (§ 53a Absatz 2),</w:t>
      </w:r>
    </w:p>
    <w:p>
      <w:pPr>
        <w:ind w:left="420"/>
      </w:pPr>
      <w:r>
        <w:t xml:space="preserve">5. tragbare Blinkleuchten (§ 53b Absatz 5) und windsichere Handlampen (§ 54b),</w:t>
      </w:r>
    </w:p>
    <w:p>
      <w:pPr>
        <w:ind w:left="420"/>
      </w:pPr>
      <w:r>
        <w:t xml:space="preserve">6. Leuchten und Rückstrahler (§ 53b Absatz 1 Satz 4 Halbsatz 2 und Absatz 2 Satz 4 Halbsatz 2).</w:t>
      </w:r>
    </w:p>
    <w:p>
      <w:r>
        <w:rPr>
          <w:color w:val="555555"/>
          <w:sz w:val="17"/>
        </w:rPr>
        <w:t xml:space="preserve">Zitiervorschlag: § 31b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