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StVZO 2012 — Verantwortung für den Betrieb der Fahrzeuge</w:t>
      </w:r>
    </w:p>
    <w:p>
      <w:r>
        <w:rPr>
          <w:color w:val="555555"/>
          <w:sz w:val="18"/>
        </w:rPr>
        <w:t xml:space="preserve">Straßenverkehrs-Zulassungs-Ordnung</w:t>
      </w:r>
    </w:p>
    <w:p>
      <w:r>
        <w:rPr>
          <w:color w:val="555555"/>
          <w:sz w:val="18"/>
        </w:rPr>
        <w:t xml:space="preserve">Stand: 10.06.2019 (konsolidierte Textfassung, kein amtliches Inkrafttretensdatum)</w:t>
      </w:r>
    </w:p>
    <w:p>
      <w:r>
        <w:t xml:space="preserve">(1) Wer ein Fahrzeug oder einen Zug miteinander verbundener Fahrzeuge führt, muss zur selbstständigen Leitung geeignet sein.</w:t>
      </w:r>
    </w:p>
    <w:p>
      <w:r>
        <w:t xml:space="preserve">(2) Der Halter darf die Inbetriebnahme nicht anordnen oder zulassen, wenn ihm bekannt ist oder bekannt sein muss, dass der Führer nicht zur selbstständigen Leitung geeignet oder das Fahrzeug, der Zug, das Gespann, die Ladung oder die Besetzung nicht vorschriftsmäßig ist oder dass die Verkehrssicherheit des Fahrzeugs durch die Ladung oder die Besetzung leidet.</w:t>
      </w:r>
    </w:p>
    <w:p>
      <w:r>
        <w:rPr>
          <w:color w:val="555555"/>
          <w:sz w:val="17"/>
        </w:rPr>
        <w:t xml:space="preserve">Zitiervorschlag: § 31 StVZO 2012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https://recht.nulegal.eu/gesetze/StVZO%202012/31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