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30c StVZO 2012 — Vorstehende Außenkanten, Frontschutzsysteme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Am Umriss der Fahrzeuge dürfen keine Teile so hervorragen, dass sie den Verkehr mehr als unvermeidbar gefährden.</w:t>
      </w:r>
    </w:p>
    <w:p>
      <w:r>
        <w:t xml:space="preserve">(2) Vorstehende Außenkanten von Personenkraftwagen müssen den im Anhang zu dieser Vorschrift genannten Bestimmungen entsprechen.</w:t>
      </w:r>
    </w:p>
    <w:p>
      <w:r>
        <w:t xml:space="preserve">(3) Vorstehende Außenkanten von zweirädrigen oder dreirädrigen Kraftfahrzeugen nach § 30a Absatz 3 müssen den im Anhang zu dieser Vorschrift genannten Bestimmungen entsprechen.</w:t>
      </w:r>
    </w:p>
    <w:p>
      <w:r>
        <w:t xml:space="preserve">(4) An Personenkraftwagen, Lastkraftwagen, Zugmaschinen und Sattelzugmaschinen mit mindestens vier Rädern, einer durch die Bauart bestimmten Höchstgeschwindigkeit von mehr als 25 km/h und einer zulässigen Gesamtmasse von nicht mehr als 3,5 t angebrachte Frontschutzsysteme müssen den im Anhang zu dieser Vorschrift genannten Bestimmungen entsprechen.</w:t>
      </w:r>
    </w:p>
    <w:p>
      <w:r>
        <w:rPr>
          <w:color w:val="555555"/>
          <w:sz w:val="17"/>
        </w:rPr>
        <w:t xml:space="preserve">Zitiervorschlag: § 30c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https://recht.nulegal.eu/gesetze/StVZO%202012/30c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