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StVZO 2012 — Beschaffenheit der Fahrzeuge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07.07.2021 (konsolidierte Textfassung, kein amtliches Inkrafttretensdatum)</w:t>
      </w:r>
    </w:p>
    <w:p>
      <w:r>
        <w:t xml:space="preserve">(1) Fahrzeuge müssen so gebaut und ausgerüstet sein, dass</w:t>
      </w:r>
    </w:p>
    <w:p>
      <w:pPr>
        <w:ind w:left="420"/>
      </w:pPr>
      <w:r>
        <w:t xml:space="preserve">1. ihr verkehrsüblicher Betrieb niemanden schädigt oder mehr als unvermeidbar gefährdet, behindert oder belästigt,</w:t>
      </w:r>
    </w:p>
    <w:p>
      <w:pPr>
        <w:ind w:left="420"/>
      </w:pPr>
      <w:r>
        <w:t xml:space="preserve">2. die Insassen insbesondere bei Unfällen vor Verletzungen möglichst geschützt sind und das Ausmaß und die Folgen von Verletzungen möglichst gering bleiben.</w:t>
      </w:r>
    </w:p>
    <w:p>
      <w:r>
        <w:t xml:space="preserve">(2) Fahrzeuge müssen in straßenschonender Bauweise hergestellt sein und in dieser erhalten werden.</w:t>
      </w:r>
    </w:p>
    <w:p>
      <w:r>
        <w:t xml:space="preserve">(3) Für die Verkehrs- oder Betriebssicherheit wichtige Fahrzeugteile, die besonders leicht abgenutzt oder beschädigt werden können, müssen einfach zu überprüfen und leicht auswechselbar sein.</w:t>
      </w:r>
    </w:p>
    <w:p>
      <w:r>
        <w:t xml:space="preserve">(4) Anstelle der Vorschriften dieser Verordnung können die Einzelrechtsakte und Einzelregelungen in ihrer jeweils geltenden Fassung angewendet werden, die</w:t>
      </w:r>
    </w:p>
    <w:p>
      <w:pPr>
        <w:ind w:left="420"/>
      </w:pPr>
      <w:r>
        <w:t xml:space="preserve">1. in Anhang IV der Richtlinie 2007/46/EG oder in Anhang II der Verordnung (EU) 2018/858 oder</w:t>
      </w:r>
    </w:p>
    <w:p>
      <w:pPr>
        <w:ind w:left="420"/>
      </w:pPr>
      <w:r>
        <w:t xml:space="preserve">2. in Anhang I der Verordnung (EU) Nr. 167/2013 oder</w:t>
      </w:r>
    </w:p>
    <w:p>
      <w:pPr>
        <w:ind w:left="420"/>
      </w:pPr>
      <w:r>
        <w:t xml:space="preserve">3. in Anhang II der Verordnung (EU) Nr. 168/2013</w:t>
      </w:r>
    </w:p>
    <w:p>
      <w:r>
        <w:t xml:space="preserve">in ihrer jeweils geltenden Fassung genannt sind. Die in Satz 1 genannten Einzelrechtsakte und Einzelregelungen sind jeweils ab dem Zeitpunkt anzuwenden, zu dem sie in Kraft treten.</w:t>
      </w:r>
    </w:p>
    <w:p>
      <w:r>
        <w:rPr>
          <w:color w:val="555555"/>
          <w:sz w:val="17"/>
        </w:rPr>
        <w:t xml:space="preserve">Zitiervorschlag: § 30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