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StVZO 2012 — Betriebserlaubnis für Einzelfahrzeuge</w:t>
      </w:r>
    </w:p>
    <w:p>
      <w:r>
        <w:rPr>
          <w:color w:val="555555"/>
          <w:sz w:val="18"/>
        </w:rPr>
        <w:t xml:space="preserve">Straßenverkehrs-Zulassungs-Ordnung</w:t>
      </w:r>
    </w:p>
    <w:p>
      <w:r>
        <w:rPr>
          <w:color w:val="555555"/>
          <w:sz w:val="18"/>
        </w:rPr>
        <w:t xml:space="preserve">Stand: 01.09.2023 (konsolidierte Textfassung, kein amtliches Inkrafttretensdatum)</w:t>
      </w:r>
    </w:p>
    <w:p>
      <w:r>
        <w:t xml:space="preserve">(1) Gehört ein Fahrzeug nicht zu einem genehmigten Typ, so hat der Verfügungsberechtigte die Betriebserlaubnis bei der nach Landesrecht zuständigen Behörde zu beantragen. Mit dem Antrag auf Erteilung der Betriebserlaubnis ist der nach Landesrecht zuständigen Behörde das Gutachten eines amtlich anerkannten Sachverständigen für den Kraftfahrzeugverkehr oder eines nach § 30 der EG-Fahrzeuggenehmigungsverordnung zur Prüfung von Gesamtfahrzeugen der jeweiligen Fahrzeugklasse benannten Technischen Dienstes vorzulegen. Das Gutachten muss die technische Beschreibung des Fahrzeugs in dem Umfang enthalten, der für die Ausfertigung der Zulassungsbescheinigung Teil I und Teil II erforderlich ist. Dem Gutachten ist eine Anlage beizufügen, in der die technischen Vorschriften angegeben sind, auf deren Grundlage dem Fahrzeug eine Betriebserlaubnis erteilt werden kann. In den Fällen des § 19 Absatz 2 sind in dieser Anlage zusätzlich die Änderungen darzustellen, die zum Erlöschen der früheren Betriebserlaubnis geführt haben. In dem Gutachten bescheinigt die oder der amtlich anerkannte Sachverständige für den Kraftfahrzeugverkehr oder der nach § 30 der EG-Fahrzeuggenehmigungsverordnung zur Prüfung von Gesamtfahrzeugen der jeweiligen Fahrzeugklasse benannte Technische Dienst, dass sie oder er das Fahrzeug im Gutachten richtig beschrieben hat und dass das Fahrzeug gemäß § 19 Absatz 1 vorschriftsmäßig ist; die Angaben aus dem Gutachten überträgt die Genehmigungsbehörde in die Zulassungsbescheinigung Teil I und, soweit vorgesehen, in die Zulassungsbescheinigung Teil II.</w:t>
      </w:r>
    </w:p>
    <w:p>
      <w:r>
        <w:t xml:space="preserve">(1a) Gehört ein Fahrzeug zu einem genehmigten Typ oder liegt eine Einzelbetriebserlaubnis nach dieser Verordnung oder eine Einzelgenehmigung nach § 13 der EG-Fahrzeuggenehmigungsverordnung vor, ist eine Begutachtung nur zulässig, wenn die Betriebserlaubnis nach § 19 Absatz 2 erloschen ist.</w:t>
      </w:r>
    </w:p>
    <w:p>
      <w:r>
        <w:t xml:space="preserve">(2) Für die im Gutachten zusammengefassten Ergebnisse müssen Prüfprotokolle vorliegen, aus denen hervorgeht, dass die notwendigen Prüfungen durchgeführt und die geforderten Ergebnisse erreicht wurden. Auf Anforderung sind die Prüfprotokolle der Genehmigungs- oder der zuständigen Aufsichtsbehörde vorzulegen. Die Aufbewahrungsfrist für die Gutachten und Prüfprotokolle beträgt zehn Jahre.</w:t>
      </w:r>
    </w:p>
    <w:p>
      <w:r>
        <w:t xml:space="preserve">(3) Der Leiter der Technischen Prüfstelle ist für die Sicherstellung der gleichmäßigen Qualität aller Tätigkeiten des befugten Personenkreises verantwortlich. Er hat der zuständigen Aufsichtsbehörde jährlich sowie zusätzlich auf konkrete Anforderung hin einen Qualitätssicherungsbericht vorzulegen. Der Bericht muss in transparenter Form Aufschluss über die durchgeführten Qualitätskontrollen und die eingeleiteten Qualitätsmaßnahmen geben, sofern diese aufgrund eines Verstoßes erforderlich waren. Der Leiter der Technischen Prüfstelle hat sicherzustellen, dass fehlerhafte Begutachtungen aufgrund derer ein Fahrzeug in Verkehr gebracht wurde oder werden soll, von dem ein erhebliches Risiko für die Verkehrssicherheit, die öffentliche Gesundheit oder die Umwelt ausgeht, nach Feststellung unverzüglich der zuständigen Genehmigungsbehörde und der zuständigen Aufsichtsbehörde gemeldet werden.</w:t>
      </w:r>
    </w:p>
    <w:p>
      <w:r>
        <w:t xml:space="preserve">(4) Bei zulassungspflichtigen Fahrzeugen ist der Behörde mit dem Antrag eine Zulassungsbescheinigung Teil II vorzulegen. Wenn diese noch nicht vorhanden ist, ist nach § 14 der Fahrzeug-Zulassungsverordnung zu beantragen, dass diese ausgefertigt wird.</w:t>
      </w:r>
    </w:p>
    <w:p>
      <w:r>
        <w:t xml:space="preserve">(5) Ist für die Erteilung einer Genehmigung für Fahrzeuge zusätzlich die Erteilung einer Ausnahmegenehmigung nach § 70 erforderlich, hat die begutachtende Stelle diese im Gutachten zu benennen und stichhaltig zu begründen.</w:t>
      </w:r>
    </w:p>
    <w:p>
      <w:r>
        <w:t xml:space="preserve">(6) Abweichend von Absatz 4 Satz 1 bedarf es für Fahrzeuge, die für die Bundeswehr zugelassen werden, nicht der Vorlage einer Zulassungsbescheinigung Teil II, wenn ein amtlich anerkannter Sachverständiger für den Kraftfahrzeugverkehr oder ein nach § 30 der EG-Fahrzeuggenehmigungsverordnung zur Prüfung von Gesamtfahrzeugen der jeweiligen Fahrzeugklasse benannter Technischer Dienst eine Datenbestätigung entsprechend Muster 2d ausgestellt hat.</w:t>
      </w:r>
    </w:p>
    <w:p>
      <w:r>
        <w:rPr>
          <w:color w:val="555555"/>
          <w:sz w:val="17"/>
        </w:rPr>
        <w:t xml:space="preserve">Zitiervorschlag: § 21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