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StVZO 2012 — Erteilung und Wirksamkeit der Betriebserlaubnis</w:t>
      </w:r>
    </w:p>
    <w:p>
      <w:r>
        <w:rPr>
          <w:color w:val="555555"/>
          <w:sz w:val="18"/>
        </w:rPr>
        <w:t xml:space="preserve">Straßenverkehrs-Zulassungs-Ordnung</w:t>
      </w:r>
    </w:p>
    <w:p>
      <w:r>
        <w:rPr>
          <w:color w:val="555555"/>
          <w:sz w:val="18"/>
        </w:rPr>
        <w:t xml:space="preserve">Stand: 20.06.2024 (konsolidierte Textfassung, kein amtliches Inkrafttretensdatum)</w:t>
      </w:r>
    </w:p>
    <w:p>
      <w:r>
        <w:t xml:space="preserve">(1) Die Betriebserlaubnis ist zu erteilen, wenn das Fahrzeug den Vorschriften der Verordnung (EU) Nr. 165/2014 des Europäischen Parlaments und des Rates vom 4. Februar 2014 über Fahrtenschreiber im Straßenverkehr, zur Aufhebung der Verordnung (EWG) Nr. 3821/85 des Rates über das Kontrollgerät im Straßenverkehr und zur Änderung der Verordnung (EG) Nr. 561/2006 des Europäischen Parlaments und des Rates zur Harmonisierung bestimmter Sozialvorschriften im Straßenverkehr (ABl. L 60 vom 28.2.2014, S. 1; L 93 vom 9.4.2015, S. 103; L 246 vom 23.9.2015, S. 11), die durch die Verordnung (EU) 2020/1054 (ABl. L 249 vom 31.7.2020, S. 1) geändert worden ist, entspricht und das Fahrzeug die Anforderungen der Einzelrechtsakte und Einzelregelungen erfüllt, die in</w:t>
      </w:r>
    </w:p>
    <w:p>
      <w:pPr>
        <w:ind w:left="420"/>
      </w:pPr>
      <w:r>
        <w:t xml:space="preserve">1. Anhang II der Verordnung (EU) 2018/858 des Europäischen Parlaments und des Rates vom 30. Mai 2018 über die Genehmigung und die Marktüberwachung von Kraftfahrzeugen und Kraftfahrzeuganhängern sowie von Systemen, Bauteilen und selbstständigen technischen Einheiten für diese Fahrzeuge, zur Änderung der Verordnungen (EG) Nr. 715/2007 und (EG) Nr. 595/2009 und zur Aufhebung der Richtlinie 2007/46/EG (ABl. L 151 vom 14.6.2018, S. 1; L 210 vom 11.8.2022, S. 19), die zuletzt durch die Delegierte Verordnung (EU) 2022/2236 (ABl. L 296 vom 16.11.2022, S. 1) geändert worden ist,</w:t>
      </w:r>
    </w:p>
    <w:p>
      <w:pPr>
        <w:ind w:left="420"/>
      </w:pPr>
      <w:r>
        <w:t xml:space="preserve">2. Anhang I der Verordnung (EU) Nr. 167/2013 des Europäischen Parlaments und des Rates vom 5. Februar 2013 über die Genehmigung und Marktüberwachung von land- und forstwirtschaftlichen Fahrzeugen (ABl. L 60 vom 2.3.2013, S. 1), die zuletzt durch die Verordnung (EU) 2019/519 (ABl. L 91 vom 29.3.2019, S. 42) geändert worden ist, oder</w:t>
      </w:r>
    </w:p>
    <w:p>
      <w:pPr>
        <w:ind w:left="420"/>
      </w:pPr>
      <w:r>
        <w:t xml:space="preserve">3. Anhang II der Verordnung (EU) Nr. 168/2013 des Europäischen Parlaments und des Rates vom 15. Januar 2013 über die Genehmigung und Marktüberwachung von zwei- oder dreirädrigen und vierrädrigen Fahrzeugen (ABl. L 60 vom 2.3.2013, S. 52; L 77 vom 23.3.2016, S. 65; L 64 vom 10.3.2017, S. 116; L 398 vom 11.11.2021, S. 54), die zuletzt durch die Verordnung (EU) 2020/1694 (ABl. L 381 vom 13.11.2020, S. 4) geändert worden ist,</w:t>
      </w:r>
    </w:p>
    <w:p>
      <w:r>
        <w:t xml:space="preserve">genannt sind. Die Betriebserlaubnis nach den Vorschriften dieser Verordnung ist nur zu erteilen, wenn die Einzelrechtsakte und Einzelregelungen, die in den in Satz 1 Nummer 1, 2 oder 3 genannten Vorschriften angegeben sind, nicht anwendbar sind. Die Einzelrechtsakte und Einzelregelungen, die in den in Satz 1 Nummer 1 bis 3 genannten Vorschriften angegeben sind, sind jeweils ab dem Zeitpunkt anzuwenden, zu dem sie in Kraft treten. Soweit in einem Einzelrechtsakt die verbindliche Anwendung vorgeschrieben ist, ist nur dieser Einzelrechtsakt maßgeblich. Gehört ein solches Fahrzeug zu einem genehmigten Typ oder liegt eine Einzelbetriebserlaubnis nach dieser Verordnung oder eine Einzelgenehmigung nach § 13 der EG-Fahrzeuggenehmigungsverordnung vor, ist die Erteilung einer neuen Betriebserlaubnis nur zulässig, wenn die Betriebserlaubnis nach Absatz 2 Satz 2 erloschen ist.</w:t>
      </w:r>
    </w:p>
    <w:p>
      <w:r>
        <w:t xml:space="preserve">(2) Die Betriebserlaubnis des Fahrzeugs bleibt, wenn sie nicht ausdrücklich entzogen wird, bis zu seiner endgültigen Außerbetriebsetzung wirksam. Sie erlischt, wenn Änderungen vorgenommen werden, durch die</w:t>
      </w:r>
    </w:p>
    <w:p>
      <w:pPr>
        <w:ind w:left="420"/>
      </w:pPr>
      <w:r>
        <w:t xml:space="preserve">1. die in der Betriebserlaubnis genehmigte Fahrzeugart geändert wird,</w:t>
      </w:r>
    </w:p>
    <w:p>
      <w:pPr>
        <w:ind w:left="420"/>
      </w:pPr>
      <w:r>
        <w:t xml:space="preserve">2. eine Gefährdung von Verkehrsteilnehmern zu erwarten ist oder</w:t>
      </w:r>
    </w:p>
    <w:p>
      <w:pPr>
        <w:ind w:left="420"/>
      </w:pPr>
      <w:r>
        <w:t xml:space="preserve">3. das Abgas- oder Geräuschverhalten verschlechtert wird.</w:t>
      </w:r>
    </w:p>
    <w:p>
      <w:r>
        <w:t xml:space="preserve">Fahrzeughersteller, Importeure oder Gewerbetreibende dürfen keine Änderungen vornehmen oder vornehmen lassen, die nach Satz 2 zum Erlöschen der Betriebserlaubnis führen. Satz 3 gilt nicht, wenn unverzüglich eine Betriebserlaubnis nach § 21 für das Gesamtfahrzeug eingeholt wird. Sie erlischt ferner für Fahrzeuge der Bundeswehr, für die § 20 Absatz 3b oder § 21 Absatz 6 angewendet worden ist, sobald die Fahrzeuge nicht mehr für die Bundeswehr zugelassen sind. Für die Erteilung einer neuen Betriebserlaubnis gilt § 21 entsprechend. Besteht Anlass zur Annahme, dass die Betriebserlaubnis erloschen ist, kann die Verwaltungsbehörde zur Vorbereitung einer Entscheidung</w:t>
      </w:r>
    </w:p>
    <w:p>
      <w:pPr>
        <w:ind w:left="420"/>
      </w:pPr>
      <w:r>
        <w:t xml:space="preserve">1. die Beibringung eines Gutachtens eines amtlich anerkannten Sachverständigen, Prüfers für den Kraftfahrzeugverkehr oder eines Prüfingenieurs darüber, ob das Fahrzeug den Vorschriften dieser Verordnung entspricht, oder</w:t>
      </w:r>
    </w:p>
    <w:p>
      <w:pPr>
        <w:ind w:left="420"/>
      </w:pPr>
      <w:r>
        <w:t xml:space="preserve">2. die Vorführung des Fahrzeugs</w:t>
      </w:r>
    </w:p>
    <w:p>
      <w:r>
        <w:t xml:space="preserve">anordnen und wenn nötig mehrere solcher Anordnungen treffen; auch darf eine Prüfplakette nach Anlage IX nicht zugeteilt werden. Für Softwareänderungen von im Verkehr befindlichen Fahrzeugen sind zusätzlich die hierzu amtlich bekannt gemachten Vorschriften zur Durchführung sowie der Stand der Technik zu beachten. Softwareänderungen nicht genehmigungspflichtiger Erweiterungen sind hiervon nicht betroffen.</w:t>
      </w:r>
    </w:p>
    <w:p>
      <w:r>
        <w:t xml:space="preserve">(2a) Die Betriebserlaubnis für Fahrzeuge, die nach ihrer Bauart speziell für militärische oder polizeiliche Zwecke sowie für Zwecke des Brandschutzes, des Katastrophenschutzes oder des Rettungsdienstes bestimmt sind, bleibt nur so lange wirksam, wie die Fahrzeuge für die Bundeswehr, die Bundespolizei, die Polizeien der Länder, die Feuerwehr oder Einrichtungen des Katastrophenschutzes oder des Rettungsdienstes zugelassen oder eingesetzt werden. Für Fahrzeuge nach Satz 1 darf eine Betriebserlaubnis nach § 21 nur der Bundeswehr, der Bundespolizei, den Polizeien der Länder, der Feuerwehr oder Einrichtungen des Katastrophenschutzes oder des Rettungsdienstes erteilt werden; dies gilt auch, wenn die für die militärischen oder die polizeilichen Zwecke sowie die Zwecke des Brandschutzes, des Katastrophenschutzes und des Rettungsdienstes vorhandene Ausstattung oder Ausrüstung entfernt, verändert oder unwirksam gemacht worden ist. Ausnahmen von Satz 2 für bestimmte Einsatzzwecke können nach § 70 genehmigt werden.</w:t>
      </w:r>
    </w:p>
    <w:p>
      <w:r>
        <w:t xml:space="preserve">(3) Abweichend von Absatz 2 Satz 2 erlischt die Betriebserlaubnis des Fahrzeugs jedoch nicht, wenn bei Änderungen durch Ein- oder Anbau von Teilen</w:t>
      </w:r>
    </w:p>
    <w:p>
      <w:pPr>
        <w:ind w:left="420"/>
      </w:pPr>
      <w:r>
        <w:t xml:space="preserve">1. für diese Teile</w:t>
      </w:r>
    </w:p>
    <w:p>
      <w:pPr>
        <w:ind w:left="780"/>
      </w:pPr>
      <w:r>
        <w:t xml:space="preserve">a) eine Betriebserlaubnis nach § 22 oder eine Bauartgenehmigung nach § 22a erteilt worden ist oder</w:t>
      </w:r>
    </w:p>
    <w:p>
      <w:pPr>
        <w:ind w:left="780"/>
      </w:pPr>
      <w:r>
        <w:t xml:space="preserve">b) der nachträgliche Ein- oder Anbau im Rahmen einer Betriebserlaubnis oder eines Nachtrags dazu für das Fahrzeug nach § 20 oder § 21 genehmigt worden ist</w:t>
      </w:r>
    </w:p>
    <w:p>
      <w:pPr>
        <w:ind w:left="420"/>
      </w:pPr>
      <w:r>
        <w:t xml:space="preserve">und die Wirksamkeit der Betriebserlaubnis, der Bauartgenehmigung oder der Genehmigung nicht von der Abnahme des Ein- oder Anbaus abhängig gemacht worden ist oder</w:t>
      </w:r>
    </w:p>
    <w:p>
      <w:pPr>
        <w:ind w:left="420"/>
      </w:pPr>
      <w:r>
        <w:t xml:space="preserve">2. für diese Teile</w:t>
      </w:r>
    </w:p>
    <w:p>
      <w:pPr>
        <w:ind w:left="780"/>
      </w:pPr>
      <w:r>
        <w:t xml:space="preserve">a) eine EWG-Betriebserlaubnis, eine EWG-Bauartgenehmigung oder eine EG-Typgenehmigung nach Europäischem Gemeinschaftsrecht oder</w:t>
      </w:r>
    </w:p>
    <w:p>
      <w:pPr>
        <w:ind w:left="780"/>
      </w:pPr>
      <w:r>
        <w:t xml:space="preserve">b) eine Genehmigung nach Regelungen in der jeweiligen Fassung entsprechend dem Übereinkommen vom 20. März 1958 über die Annahme einheitlicher Bedingungen für die Genehmigung der Ausrüstungsgegenstände und Teile von Kraftfahrzeugen und über die gegenseitige Anerkennung der Genehmigung (BGBl. 1965 II S. 857, 858), soweit diese von der Bundesrepublik Deutschland angewendet werden,</w:t>
      </w:r>
    </w:p>
    <w:p>
      <w:pPr>
        <w:ind w:left="420"/>
      </w:pPr>
      <w:r>
        <w:t xml:space="preserve">erteilt worden ist und eventuelle Einschränkungen oder Einbauanweisungen beachtet sind oder</w:t>
      </w:r>
    </w:p>
    <w:p>
      <w:pPr>
        <w:ind w:left="420"/>
      </w:pPr>
      <w:r>
        <w:t xml:space="preserve">3. die Wirksamkeit der Betriebserlaubnis, der Bauartgenehmigung oder der Genehmigung dieser Teile nach Nummer 1 Buchstabe a oder b von einer Abnahme des Ein- oder Anbaus abhängig gemacht ist und die Abnahme unverzüglich durchgeführt und nach § 22 Absatz 1 Satz 5, auch in Verbindung mit § 22a Absatz 1a, bestätigt worden ist oder</w:t>
      </w:r>
    </w:p>
    <w:p>
      <w:pPr>
        <w:ind w:left="420"/>
      </w:pPr>
      <w:r>
        <w:t xml:space="preserve">4. (weggefallen)</w:t>
      </w:r>
    </w:p>
    <w:p>
      <w:r>
        <w:t xml:space="preserve">Werden bei Teilen nach Nummer 1 oder 2 in der Betriebserlaubnis, der Bauartgenehmigung oder der Genehmigung aufgeführte Einschränkungen oder Einbauanweisungen nicht eingehalten, erlischt die Betriebserlaubnis des Fahrzeugs.</w:t>
      </w:r>
    </w:p>
    <w:p>
      <w:r>
        <w:t xml:space="preserve">(4) Der Führer des Fahrzeugs hat in den Fällen</w:t>
      </w:r>
    </w:p>
    <w:p>
      <w:pPr>
        <w:ind w:left="420"/>
      </w:pPr>
      <w:r>
        <w:t xml:space="preserve">1. des Absatzes 3 Satz 1 Nummer 1 den Abdruck oder die Ablichtung der betreffenden Betriebserlaubnis, Bauartgenehmigung, Genehmigung im Rahmen der Betriebserlaubnis oder eines Auszugs dieser Erlaubnis oder Genehmigung, der die für die Verwendung wesentlichen Angaben enthält,</w:t>
      </w:r>
    </w:p>
    <w:p>
      <w:pPr>
        <w:ind w:left="420"/>
      </w:pPr>
      <w:r>
        <w:t xml:space="preserve">2. des Absatzes 3 Satz 1 Nummer 3 einen Nachweis nach einem vom Bundesministerium für Digitales und Verkehr im Verkehrsblatt bekannt gemachten Muster über die Erlaubnis oder die Genehmigung mit der Bestätigung des ordnungsgemäßen Ein- oder Anbaus sowie den zu beachtenden Beschränkungen oder Auflagen,</w:t>
      </w:r>
    </w:p>
    <w:p>
      <w:r>
        <w:t xml:space="preserve">mitzuführen und zuständigen Personen auf Verlangen vorzulegen. Satz 1 gilt nicht, wenn die Zulassungsbescheinigung Teil I, das Anhängerverzeichnis nach § 13 Absatz 2 Satz 1 der Fahrzeug-Zulassungsverordnung oder ein nach § 4 Absatz 5 der Fahrzeug-Zulassungsverordnung mitzuführender oder aufzubewahrender Nachweis einen entsprechenden Eintrag einschließlich zu beachtender Beschränkungen oder Auflagen enthält; anstelle der zu beachtenden Beschränkungen oder Auflagen kann auch ein Vermerk enthalten sein, dass diese in einer mitzuführenden Erlaubnis, Genehmigung oder einem mitzuführenden Nachweis aufgeführt sind. Die Pflicht zur Mitteilung von Änderungen nach § 15 der Fahrzeug-Zulassungsverordnung bleibt unberührt.</w:t>
      </w:r>
    </w:p>
    <w:p>
      <w:r>
        <w:t xml:space="preserve">(5) Ist die Betriebserlaubnis nach Absatz 2 Satz 2 oder Absatz 3 Satz 2 erloschen, so darf das Fahrzeug nicht auf öffentlichen Straßen in Betrieb genommen werden oder dessen Inbetriebnahme durch den Halter angeordnet oder zugelassen werden. Ausnahmen von Satz 1 sind nur nach Maßgabe der Sätze 3 bis 6 zulässig. Ist die Betriebserlaubnis nach Absatz 2 Satz 2 erloschen, dürfen nur solche Fahrten durchgeführt werden, die in unmittelbarem Zusammenhang mit der Erlangung einer neuen Betriebserlaubnis stehen. Am Fahrzeug sind die bisherigen Kennzeichen oder rote Kennzeichen zu führen. Die Sätze 3 und 4 gelten auch für Fahrten, die der amtlich anerkannte Sachverständige für den Kraftfahrzeugverkehr oder der Ersteller des Gutachtens des nach § 30 der EG-Fahrzeuggenehmigungsverordnung zur Prüfung von Gesamtfahrzeugen benannten Technischen Dienstes im Rahmen der Erstellung des Gutachtens durchführt. Kurzzeitkennzeichen dürfen nur nach Maßgabe des § 42 Absatz 6 der Fahrzeug-Zulassungsverordnung verwendet werden.</w:t>
      </w:r>
    </w:p>
    <w:p>
      <w:r>
        <w:t xml:space="preserve">(6) Werden an Fahrzeugen von Fahrzeugherstellern, die Inhaber einer Betriebserlaubnis oder einer EU-Genehmigung für Typen sind, im Sinne des Absatzes 2 Teile verändert, so bleibt die Betriebserlaubnis wirksam, solange die Fahrzeuge ausschließlich zur Erprobung verwendet werden; insoweit ist auch keine Mitteilung an die Zulassungsbehörde erforderlich. Satz 1 gilt nur, wenn die Zulassungsbehörde im Fahrzeugschein bestätigt hat, dass ihr das Fahrzeug als Erprobungsfahrzeug gemeldet worden ist. Sofern für die Verwendung als Erprobungsfahrzeug die Genehmigung einer Ausnahme nach § 70 von den Bau- und Betriebsvorschriften der §§ 30 bis 62 erforderlich ist, ist diese einzuholen und der Hinweis hierauf in die Zulassungsbescheinigung einzutragen. Die Sätze 1 bis 3 gelten auch für Fahrzeuge, die von Herstellern von Fahrzeugteilen oder Fahrzeugsystemen zur Erprobung verwendet werden, sofern diese selbst Genehmigungsinhaber für Fahrzeugteile oder Fahrzeugsysteme sind oder sie die Anfangsbewertung nach Anhang IV Nummer 2 der in Absatz 1 Satz 1 Nummer 1 genannten Verordnung zur Zufriedenheit der Genehmigungsbehörde abgeschlossen haben.</w:t>
      </w:r>
    </w:p>
    <w:p>
      <w:r>
        <w:t xml:space="preserve">(7) Die Absätze 2 bis 6 gelten entsprechend für die EG-Typgenehmigung, die EG-Genehmigung oder die EU-Einzelgenehmigung.</w:t>
      </w:r>
    </w:p>
    <w:p>
      <w:r>
        <w:rPr>
          <w:color w:val="555555"/>
          <w:sz w:val="17"/>
        </w:rPr>
        <w:t xml:space="preserve">Zitiervorschlag: § 19 StVZO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https://recht.nulegal.eu/gesetze/StVZO%202012/19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