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StVZO 2012 — Einschränkung und Entziehung der Zulassung</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(1) Erweist sich ein Fahrzeug, das nicht in den Anwendungsbereich der Fahrzeug-Zulassungsverordnung fällt, als nicht vorschriftsmäßig, so kann die Verwaltungsbehörde dem Eigentümer oder Halter eine angemessene Frist zur Behebung der Mängel setzen und nötigenfalls den Betrieb des Fahrzeugs im öffentlichen Verkehr untersagen oder beschränken; der Betroffene hat das Verbot oder die Beschränkung zu beachten.</w:t>
      </w:r>
    </w:p>
    <w:p>
      <w:r>
        <w:t xml:space="preserve">(2) (weggefallen)</w:t>
      </w:r>
    </w:p>
    <w:p>
      <w:r>
        <w:t xml:space="preserve">(3) Besteht Anlass zur Annahme, dass das Fahrzeug den Vorschriften dieser Verordnung nicht entspricht, so kann die Verwaltungsbehörde zur Vorbereitung einer Entscheidung nach Absatz 1 je nach den Umständen</w:t>
      </w:r>
    </w:p>
    <w:p>
      <w:pPr>
        <w:ind w:left="420"/>
      </w:pPr>
      <w:r>
        <w:t xml:space="preserve">1. die Beibringung eines Sachverständigengutachtens darüber, ob das Fahrzeug den Vorschriften dieser Verordnung entspricht, oder</w:t>
      </w:r>
    </w:p>
    <w:p>
      <w:pPr>
        <w:ind w:left="420"/>
      </w:pPr>
      <w:r>
        <w:t xml:space="preserve">2. die Vorführung des Fahrzeugs</w:t>
      </w:r>
    </w:p>
    <w:p>
      <w:r>
        <w:t xml:space="preserve">anordnen und wenn nötig mehrere solcher Anordnungen treffen.</w:t>
      </w:r>
    </w:p>
    <w:p>
      <w:r>
        <w:rPr>
          <w:color w:val="555555"/>
          <w:sz w:val="17"/>
        </w:rPr>
        <w:t xml:space="preserve">Zitiervorschlag: § 17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