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StVZO 2012 — Grundregel der Zulassung</w:t>
      </w:r>
    </w:p>
    <w:p>
      <w:r>
        <w:rPr>
          <w:color w:val="555555"/>
          <w:sz w:val="18"/>
        </w:rPr>
        <w:t xml:space="preserve">Straßenverkehrs-Zulassungs-Ordnung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Verkehr auf öffentlichen Straßen sind alle Fahrzeuge zugelassen, die den Vorschriften dieser Verordnung und der Straßenverkehrs-Ordnung entsprechen, soweit nicht für die Zulassung einzelner Fahrzeugarten ein Erlaubnisverfahren vorgeschrieben ist.</w:t>
      </w:r>
    </w:p>
    <w:p>
      <w:r>
        <w:t xml:space="preserve">(2) Schiebe- und Greifreifenrollstühle, Rodelschlitten, Kinderwagen, Roller, Kinderfahrräder und ähnliche nicht motorbetriebene oder mit einem Hilfsantrieb ausgerüstete ähnliche Fortbewegungsmittel mit einer bauartbedingten Höchstgeschwindigkeit von nicht mehr als 6 km/h sind nicht Fahrzeuge im Sinne dieser Verordnung.</w:t>
      </w:r>
    </w:p>
    <w:p>
      <w:r>
        <w:rPr>
          <w:color w:val="555555"/>
          <w:sz w:val="17"/>
        </w:rPr>
        <w:t xml:space="preserve">Zitiervorschlag: § 16 StVZO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https://recht.nulegal.eu/gesetze/StVZO%202012/16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