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StVUnfStatG1990V — Inkrafttreten</w:t>
      </w:r>
    </w:p>
    <w:p>
      <w:r>
        <w:rPr>
          <w:color w:val="555555"/>
          <w:sz w:val="18"/>
        </w:rPr>
        <w:t xml:space="preserve">Verordnung zur näheren Bestimmung des schwerwiegenden Unfalls mit Sachschaden im Sinne des Straßenverkehrsunfallstatistikgesetzes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1995 in Kraft.</w:t>
      </w:r>
    </w:p>
    <w:p>
      <w:r>
        <w:rPr>
          <w:color w:val="555555"/>
          <w:sz w:val="17"/>
        </w:rPr>
        <w:t xml:space="preserve">Zitiervorschlag: § 2 StVUnfStatG1990V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https://recht.nulegal.eu/gesetze/StVUnfStatG1990V/2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