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StVUnfStatG 1990</w:t>
      </w:r>
    </w:p>
    <w:p>
      <w:r>
        <w:rPr>
          <w:color w:val="555555"/>
          <w:sz w:val="18"/>
        </w:rPr>
        <w:t xml:space="preserve">Straßenverkehrsunfallstatistikgesetz</w:t>
      </w:r>
    </w:p>
    <w:p>
      <w:r>
        <w:rPr>
          <w:color w:val="555555"/>
          <w:sz w:val="18"/>
        </w:rPr>
        <w:t xml:space="preserve">Stand: 10.06.2019 (konsolidierte Textfassung, kein amtliches Inkrafttretensdatum)</w:t>
      </w:r>
    </w:p>
    <w:p>
      <w:r>
        <w:t xml:space="preserve">(1) Auskunftspflichtig sind die Polizeidienststellen, deren Beamte den Unfall aufgenommen haben. Die Auskünfte werden aus den Unterlagen der Unfallaufnahme erteilt und den statistischen Ämtern der Länder laufend zugeleitet. Die Polizei der Länder ist berechtigt, das Kraftfahrzeugkennzeichen von unfallbeteiligten Fahrzeugen auch im automatisierten Verfahren an die statistischen Ämter der Länder weiterzuleiten.</w:t>
      </w:r>
    </w:p>
    <w:p>
      <w:r>
        <w:t xml:space="preserve">(2) Abweichend von Absatz 1 ist das Kraftfahrt-Bundesamt für die fahrzeugbezogenen Merkmale nach § 2 Abs. 1 Nr. 6 auskunftspflichtig. Das Kraftfahrt-Bundesamt erteilt die Auskünfte nach § 2 Abs. 1 Nr. 6 aus dem Zentralen Fahrzeugregister. Zu diesem Zweck übermitteln die statistischen Ämter der Länder die Kraftfahrzeugkennzeichen nach § 3 und das Datum des Unfalls nach § 2 Abs. 1 Nr. 1 einer von anderen Aufgabenbereichen getrennten Organisationseinheit des Kraftfahrt-Bundesamtes gemäß § 58 Abs. 2 Satz 1 des Güterkraftverkehrsgesetzes in der Fassung der Bekanntmachung vom 3. November 1993 (BGBl. I S. 1839, 1992), das durch Artikel 40 des Gesetzes vom 29. Juli 1994 (BGBl. I S. 1890) geändert worden ist. § 58 Abs. 2 Satz 2 und 3 des Güterkraftverkehrsgesetzes gilt entsprechend. Die in Satz 3 genannten Angaben sind im Kraftfahrt-Bundesamt spätestens einen Monat nach der Übermittlung der Angaben nach § 2 Abs. 1 Nr. 6 an die statistischen Ämter der Länder zu löschen.</w:t>
      </w:r>
    </w:p>
    <w:p>
      <w:r>
        <w:rPr>
          <w:color w:val="555555"/>
          <w:sz w:val="17"/>
        </w:rPr>
        <w:t xml:space="preserve">Zitiervorschlag: § 4 StVUnfStatG 1990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https://recht.nulegal.eu/gesetze/StVUnfStatG%201990/4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