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StVUnfStatG 1990</w:t>
      </w:r>
    </w:p>
    <w:p>
      <w:r>
        <w:rPr>
          <w:color w:val="555555"/>
          <w:sz w:val="18"/>
        </w:rPr>
        <w:t xml:space="preserve">Straßenverkehrsunfallstatistikgesetz</w:t>
      </w:r>
    </w:p>
    <w:p>
      <w:r>
        <w:rPr>
          <w:color w:val="555555"/>
          <w:sz w:val="18"/>
        </w:rPr>
        <w:t xml:space="preserve">Stand: 10.06.2019 (konsolidierte Textfassung, kein amtliches Inkrafttretensdatum)</w:t>
      </w:r>
    </w:p>
    <w:p>
      <w:r>
        <w:t xml:space="preserve">(1) Die Statistik erfaßt bei Unfällen, bei denen wenigstens eine Person getötet oder verletzt worden ist oder bei schwerwiegenden Unfällen mit Sachschaden,</w:t>
      </w:r>
    </w:p>
    <w:p>
      <w:pPr>
        <w:ind w:left="420"/>
      </w:pPr>
      <w:r>
        <w:t xml:space="preserve">1. Unfallstelle, Datum, Uhrzeit, Hergang und Umstände des Unfalls sowie allgemeine Unfallursachen,</w:t>
      </w:r>
    </w:p>
    <w:p>
      <w:pPr>
        <w:ind w:left="420"/>
      </w:pPr>
      <w:r>
        <w:t xml:space="preserve">2. die beteiligten Verkehrsteilnehmer nach Geburtsmonat/-jahr, Geschlecht, Staatsangehörigkeit, bei Ausländern auch nach Wohnsitz im In- oder Ausland, Art der Verkehrsbeteiligung, Monat und Jahr der Erteilung der Fahrerlaubnis, unerlaubtes Entfernen vom Unfallort, Unfallfolgen nach den Absätzen 3 und 4 sowie Art des Fehlverhaltens und Grad der Alkoholeinwirkung,</w:t>
      </w:r>
    </w:p>
    <w:p>
      <w:pPr>
        <w:ind w:left="420"/>
      </w:pPr>
      <w:r>
        <w:t xml:space="preserve">3. die Zahl der Fahrzeugbenutzer,</w:t>
      </w:r>
    </w:p>
    <w:p>
      <w:pPr>
        <w:ind w:left="420"/>
      </w:pPr>
      <w:r>
        <w:t xml:space="preserve">4. die verunglückten Mitfahrer nach Alter in Jahren, Geschlecht und Unfallfolgen nach den Absätzen 3 und 4,</w:t>
      </w:r>
    </w:p>
    <w:p>
      <w:pPr>
        <w:ind w:left="420"/>
      </w:pPr>
      <w:r>
        <w:t xml:space="preserve">5. die beteiligten Verkehrsmittel nach Fahrzeugart, Zulassungsbezirk, Nationalitätszeichen, technischen Mängeln, Art und Höhe des Sachschadens, bei der Beförderung gefährlicher Güter die Art des Gefahrgutes sowie die Anwendung von Ausnahmebestimmungen nach der jeweils geltenden Straßen-Gefahrgutausnahmeverordnung,</w:t>
      </w:r>
    </w:p>
    <w:p>
      <w:pPr>
        <w:ind w:left="420"/>
      </w:pPr>
      <w:r>
        <w:t xml:space="preserve">6. bei deutschen Kraftfahrzeugen die fahrzeugbezogenen Merkmale: Jahr der Erstzulassung, Hersteller, Typ und Ausführung des Fahrzeugs, technische Ausstattung, Fahrzeug- und Aufbauart, Hubraum und Motorleistung, Höchstgeschwindigkeit, Maße und Gewichte.</w:t>
      </w:r>
    </w:p>
    <w:p>
      <w:r>
        <w:t xml:space="preserve">(2) Bei allen anderen Unfällen erfaßt die Statistik lediglich die Gesamtzahl, gegliedert nach Unfällen auf Autobahnen und sonstigen Straßen. Die Unfälle auf sonstigen Straßen sind zu untergliedern nach Unfällen innerhalb und außerhalb geschlossener Ortschaften.</w:t>
      </w:r>
    </w:p>
    <w:p>
      <w:r>
        <w:t xml:space="preserve">(3) Als Getötete werden alle Personen gezählt, die innerhalb von 30 Tagen nach dem Unfall an den Unfallfolgen verstorben sind.</w:t>
      </w:r>
    </w:p>
    <w:p>
      <w:r>
        <w:t xml:space="preserve">(4) Verletzte sind Personen, die bei dem Unfall Körperschäden erlitten haben. Werden sie deshalb zur stationären Behandlung in ein Krankenhaus aufgenommen, so gelten sie als Schwerverletzte.</w:t>
      </w:r>
    </w:p>
    <w:p>
      <w:r>
        <w:t xml:space="preserve">(5)</w:t>
      </w:r>
    </w:p>
    <w:p>
      <w:r>
        <w:rPr>
          <w:color w:val="555555"/>
          <w:sz w:val="17"/>
        </w:rPr>
        <w:t xml:space="preserve">Zitiervorschlag: § 2 StVUnfStatG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https://recht.nulegal.eu/gesetze/StVUnfStatG%201990/2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