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StVUnfStatG 1990</w:t>
      </w:r>
    </w:p>
    <w:p>
      <w:r>
        <w:rPr>
          <w:color w:val="555555"/>
          <w:sz w:val="18"/>
        </w:rPr>
        <w:t xml:space="preserve">Straßenverkehrsunfallstatistikgesetz</w:t>
      </w:r>
    </w:p>
    <w:p>
      <w:r>
        <w:rPr>
          <w:color w:val="555555"/>
          <w:sz w:val="18"/>
        </w:rPr>
        <w:t xml:space="preserve">Stand: 10.06.2019 (konsolidierte Textfassung, kein amtliches Inkrafttretensdatum)</w:t>
      </w:r>
    </w:p>
    <w:p>
      <w:r>
        <w:t xml:space="preserve">Über Unfälle, bei denen infolge des Fahrverkehrs auf öffentlichen Wegen und Plätzen Personen getötet oder verletzt oder Sachschäden verursacht worden sind, wird laufend eine Bundesstatistik geführt. Sie dient dazu, eine aktuelle, umfassende und zuverlässige Datenbasis über Struktur und Entwicklung der Straßenverkehrsunfälle zu erstellen.</w:t>
      </w:r>
    </w:p>
    <w:p>
      <w:r>
        <w:rPr>
          <w:color w:val="555555"/>
          <w:sz w:val="17"/>
        </w:rPr>
        <w:t xml:space="preserve">Zitiervorschlag: § 1 StVUnfStatG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https://recht.nulegal.eu/gesetze/StVUnfStatG%201990/1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