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13 StVTAeBay_RhPf_SaarlStV (Bayern)</w:t>
      </w:r>
    </w:p>
    <w:p>
      <w:r>
        <w:rPr>
          <w:color w:val="555555"/>
          <w:sz w:val="18"/>
        </w:rPr>
        <w:t xml:space="preserve">Staatsvertrag zwischen dem Freistaat Bayern und dem Land Rheinland-Pfalz und dem Saarland über die Zugehörigkeit der Tierärzte des Landes Rheinland-Pfalz und des Saarlandes zur Bayerischen Ärzteversorgung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Dieser Staatsvertrag tritt vorbehaltlich der Zustimmung der verfassungsmäßig zuständigen Organe am 1. Januar 1973 in Kraft.</w:t>
      </w:r>
    </w:p>
    <w:p>
      <w:r>
        <w:t xml:space="preserve">(2) Die Satzung der Bayerischen Ärzteversorgung ist von der Bayerischen Versicherungskammer in der im Zeitpunkt des Inkrafttretens dieses Staatsvertrages geltenden Fassung unter Hinweis auf den Staatsvertrag im Staatsanzeiger für Rheinland-Pfalz und im Amtsblatt des Saarlandes bekanntzugeben.</w:t>
      </w:r>
    </w:p>
    <w:p>
      <w:r>
        <w:rPr>
          <w:color w:val="555555"/>
          <w:sz w:val="17"/>
        </w:rPr>
        <w:t xml:space="preserve">Zitiervorschlag: Art 13 StVTAeBay_RhPf_SaarlStV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https://recht.nulegal.eu/gesetze/StVTAeBay_RhPf_SaarlStV/13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