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 den räumlichen Geltungsbereich dieses Staatsvertrages Betroffenen erhalten eine ihrem Anteil an der Gesamtmitgliederzahl der Bayerischen Ärzteversorgung entsprechende Vertretung im Verwaltungsrat (Landesausschuß) der Bayerischen Ärzteversorgung. Diese Vertretung wird auf Vorschlag der Bezirksärztekammer Rheinhessen vom Bayerischen Staatsministerium des Innern im Einvernehmen mit dem Ministerium des Innern und für Sport des Landes Rheinland-Pfalz berufen.</w:t>
      </w:r>
    </w:p>
    <w:p>
      <w:r>
        <w:t xml:space="preserve">(2) Das Ministerium des Innern und für Sport des Landes Rheinland-Pfalz ist zu den Sitzungen des Verwaltungsrats (Landesausschusses), des Kammerrats und der Ausschüsse einzuladen.</w:t>
      </w:r>
    </w:p>
    <w:p>
      <w:r>
        <w:rPr>
          <w:color w:val="555555"/>
          <w:sz w:val="17"/>
        </w:rPr>
        <w:t xml:space="preserve">Zitiervorschlag: Art 6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