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12 StVStVBay_RhPfAeZ (Bayern)</w:t>
      </w:r>
    </w:p>
    <w:p>
      <w:r>
        <w:rPr>
          <w:color w:val="555555"/>
          <w:sz w:val="18"/>
        </w:rPr>
        <w:t xml:space="preserve">Staatsvertrag zwischen dem Freistaat Bayern und dem Land Rheinland-Pfalz über die Zugehörigkeit der Ärzte im ehemaligen Regierungsbezirk Rheinhessen des Landes Rheinland-Pfalz zur Bayerischen Ärzteversorgung</w:t>
      </w:r>
    </w:p>
    <w:p>
      <w:r>
        <w:rPr>
          <w:color w:val="555555"/>
          <w:sz w:val="18"/>
        </w:rPr>
        <w:t xml:space="preserve">Landesrecht Bayern</w:t>
      </w:r>
    </w:p>
    <w:p>
      <w:r>
        <w:rPr>
          <w:color w:val="555555"/>
          <w:sz w:val="18"/>
        </w:rPr>
        <w:t xml:space="preserve">Stand: 25.08.2026 (konsolidierte Textfassung, kein amtliches Inkrafttretensdatum)</w:t>
      </w:r>
    </w:p>
    <w:p>
      <w:r>
        <w:t xml:space="preserve">(1) Im Falle der Kündigung werden die aus der Bayerischen Ärzteversorgung ausscheidenden Mitglieder und Versorgungsempfänger von einem durch das Land Rheinland-Pfalz zu bestimmenden Gesamtrechtsnachfolger übernommen. Auf den Gesamtrechtsnachfolger gehen alle Rechte und Pflichten der Bayerischen Ärzteversorgung gegenüber den übernommenen Mitgliedern und Versorgungsempfängern über.</w:t>
      </w:r>
    </w:p>
    <w:p>
      <w:r>
        <w:t xml:space="preserve">(2) Es findet eine Vermögensauseinandersetzung nach versicherungsmathematischen Grundsätzen statt. Das zu verteilende Vermögen ergibt sich aus einer zum Tag des Wirksamwerdens der Kündigung zu erstellenden Auseinandersetzungsbilanz, wobei Verkehrswerte zugrunde zu legen sind. Von der Summe der aktiven Vermögenswerte ist die Summe der nichtversicherungstechnischen Verbindlichkeiten abzuziehen. Das so ermittelte Vermögen ist nach dem jeweiligen Verhältnis der auf den ausscheidenden Teilbestand treffenden versicherungstechnischen Verbindlichkeiten zu den versicherungstechnischen Verbindlichkeiten des verbleibenden Bestandes der Bayerischen Ärzteversorgung aufzuteilen; soweit nichtversicherungstechnische Verbindlichkeiten von dem Gesamtrechtsnachfolger übernommen werden, sind ihm die entsprechenden Deckungsmittel zu überlassen. Bei der Verteilung des Vermögens sind die im Tätigkeitsbereich des Gesamtrechtsnachfolgers angelegten Vermögenswerte auf Verlangen diesem zu übertragen; bei den übrigen Vermögenswerten ist die Bayerische Ärzteversorgung berechtigt, Wertpapiere und Grundbesitz in Geldwert abzulösen.</w:t>
      </w:r>
    </w:p>
    <w:p>
      <w:r>
        <w:rPr>
          <w:color w:val="555555"/>
          <w:sz w:val="17"/>
        </w:rPr>
        <w:t xml:space="preserve">Zitiervorschlag: Art 12 StVStVBay_RhPfAeZ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https://recht.nulegal.eu/gesetze/StVStVBay_RhPfAeZ/12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