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StVRAusnV</w:t>
      </w:r>
    </w:p>
    <w:p>
      <w:r>
        <w:rPr>
          <w:color w:val="555555"/>
          <w:sz w:val="18"/>
        </w:rPr>
        <w:t xml:space="preserve">Leichtmofa-Ausnahmeverordnung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 Abs. 1 Nr. 1, 1a Buchstabe a und Nr. 3 Buchstabe a in Verbindung mit Abs. 3 des Straßenverkehrsgesetzes in der im Bundesgesetzblatt Teil III, Gliederungsnummer 9231-1, veröffentlichten bereinigten Fassung, Absatz 1 Nr. 1 geändert und Nummer 1a eingefügt durch Artikel 1 Nr. 3 des Gesetzes vom 13. Mai 1986 (BGBl. I S. 700) und Absatz 3 eingefügt durch § 70 Abs. 1 Nr. 3 des Gesetzes vom 15. März 1974 (BGBl. I S. 721), verordnet das Bundesministerium für Verkehr,</w:t>
      </w:r>
    </w:p>
    <w:p>
      <w:pPr>
        <w:ind w:left="420"/>
      </w:pPr>
      <w:r>
        <w:t xml:space="preserve">- des § 6 Abs. 1 Nr. 3 Buchstabe d und Nr. 5a jeweils in Verbindung mit Abs. 2a und 3 des Straßenverkehrsgesetzes in der im Bundesgesetzblatt Teil III, Gliederungsnummer 9231-1, veröffentlichten bereinigten Fassung, zuletzt geändert gemäß Artikel 22 der Zuständigkeitsanpassungs-Verordnung vom 26. November 1986 (BGBl. I S. 2089) sowie Nummer 5a und Absatz 3 eingefügt durch § 70 Abs. 1 des Gesetzes vom 15. März 1974 (BGBl. I S. 721), verordnen das Bundesministerium für Verkehr und das Bundesministerium für Umwelt, Naturschutz und Reaktorsicherheit nach Anhörung der zuständigen obersten Landesbehörden:</w:t>
      </w:r>
    </w:p>
    <w:p>
      <w:r>
        <w:rPr>
          <w:color w:val="555555"/>
          <w:sz w:val="17"/>
        </w:rPr>
        <w:t xml:space="preserve">Zitiervorschlag: Eingangsformel StVRAusnV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https://recht.nulegal.eu/gesetze/StVRAusnV/eingangsformel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