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StVRAusnV — Merkmale der Leichtmofas</w:t>
      </w:r>
    </w:p>
    <w:p>
      <w:r>
        <w:rPr>
          <w:color w:val="555555"/>
          <w:sz w:val="18"/>
        </w:rPr>
        <w:t xml:space="preserve">Leichtmofa-Ausnahmeverordnung</w:t>
      </w:r>
    </w:p>
    <w:p>
      <w:r>
        <w:rPr>
          <w:color w:val="555555"/>
          <w:sz w:val="18"/>
        </w:rPr>
        <w:t xml:space="preserve">Stand: 10.06.2019 (konsolidierte Textfassung, kein amtliches Inkrafttretensdatum)</w:t>
      </w:r>
    </w:p>
    <w:p>
      <w:r>
        <w:rPr>
          <w:rFonts w:ascii="Courier New" w:hAnsi="Courier New"/>
          <w:sz w:val="17"/>
        </w:rPr>
        <w:t xml:space="preserve">(Fundstelle des Originaltextes: BGBl. I 1993, 395)</w:t>
      </w:r>
    </w:p>
    <w:p>
      <w:r>
        <w:rPr>
          <w:rFonts w:ascii="Courier New" w:hAnsi="Courier New"/>
          <w:sz w:val="17"/>
        </w:rPr>
        <w:t xml:space="preserve">1    Fahrrad-Merkmale    </w:t>
      </w:r>
    </w:p>
    <w:p>
      <w:r>
        <w:rPr>
          <w:rFonts w:ascii="Courier New" w:hAnsi="Courier New"/>
          <w:sz w:val="17"/>
        </w:rPr>
        <w:t xml:space="preserve">1.1    Leergewicht:    nicht mehr als 30 kg</w:t>
      </w:r>
    </w:p>
    <w:p>
      <w:r>
        <w:rPr>
          <w:rFonts w:ascii="Courier New" w:hAnsi="Courier New"/>
          <w:sz w:val="17"/>
        </w:rPr>
        <w:t xml:space="preserve">1.2    Felgendurchmesser für Vorder- und Hinterrad:    mindestens 559 mm (entspricht 26 Zoll), aber nicht mehr als 640 mm (entspricht 28 Zoll)</w:t>
      </w:r>
    </w:p>
    <w:p>
      <w:r>
        <w:rPr>
          <w:rFonts w:ascii="Courier New" w:hAnsi="Courier New"/>
          <w:sz w:val="17"/>
        </w:rPr>
        <w:t xml:space="preserve">1.3    Reifenbreite:    nicht mehr als 47 mm (entspricht 1,75 Zoll)</w:t>
      </w:r>
    </w:p>
    <w:p>
      <w:r>
        <w:rPr>
          <w:rFonts w:ascii="Courier New" w:hAnsi="Courier New"/>
          <w:sz w:val="17"/>
        </w:rPr>
        <w:t xml:space="preserve">1.4    Länge der Tretkurbel:    mehr als 169 mm</w:t>
      </w:r>
    </w:p>
    <w:p>
      <w:r>
        <w:rPr>
          <w:rFonts w:ascii="Courier New" w:hAnsi="Courier New"/>
          <w:sz w:val="17"/>
        </w:rPr>
        <w:t xml:space="preserve">1.5    Fahrweg im größten Gang je Kurbelumdrehung:    mehr als 4,4 m</w:t>
      </w:r>
    </w:p>
    <w:p>
      <w:r>
        <w:rPr>
          <w:rFonts w:ascii="Courier New" w:hAnsi="Courier New"/>
          <w:sz w:val="17"/>
        </w:rPr>
        <w:t xml:space="preserve">1.6    Abstand Oberkante Sitzrohrmuffe bis Mitte Tretlagerachse:    mehr als 530 mm</w:t>
      </w:r>
    </w:p>
    <w:p>
      <w:r>
        <w:rPr>
          <w:rFonts w:ascii="Courier New" w:hAnsi="Courier New"/>
          <w:sz w:val="17"/>
        </w:rPr>
        <w:t xml:space="preserve">1.7    Lichttechnische Einrichtungen:    müssen in amtlich genehmigter Bauart ausgeführt sein; folgende Auflagen müssen erfüllt sein:</w:t>
      </w:r>
    </w:p>
    <w:p>
      <w:r>
        <w:rPr>
          <w:rFonts w:ascii="Courier New" w:hAnsi="Courier New"/>
          <w:sz w:val="17"/>
        </w:rPr>
        <w:t xml:space="preserve">a)    Ein Antrieb der Lichtmaschine, der auch nur eine kurzzeitige Unterbrechung der Stromerzeugung nicht erwarten läßt.</w:t>
      </w:r>
    </w:p>
    <w:p>
      <w:r>
        <w:rPr>
          <w:rFonts w:ascii="Courier New" w:hAnsi="Courier New"/>
          <w:sz w:val="17"/>
        </w:rPr>
        <w:t xml:space="preserve">b)    Eine Schaltung, die selbsttätig bei geringer Geschwindigkeit von Lichtmaschinen- auf Batteriebetrieb umschaltet (Standbeleuchtung).</w:t>
      </w:r>
    </w:p>
    <w:p>
      <w:r>
        <w:rPr>
          <w:rFonts w:ascii="Courier New" w:hAnsi="Courier New"/>
          <w:sz w:val="17"/>
        </w:rPr>
        <w:t xml:space="preserve">c)    Ein Großflächen-Rückstrahler, der mit dem Buchstabe "Z" gekennzeichnet ist.</w:t>
      </w:r>
    </w:p>
    <w:p>
      <w:r>
        <w:rPr>
          <w:rFonts w:ascii="Courier New" w:hAnsi="Courier New"/>
          <w:sz w:val="17"/>
        </w:rPr>
        <w:t xml:space="preserve">d)    Ein Scheinwerfer, der der Nummer 23 Abs. 5 Ziffer 2 der Technischen Anforderungen an Fahrzeugteile bei der Bauartprüfung nach § 22a StVZO (VkBl. 1983 S. 617) entspricht.</w:t>
      </w:r>
    </w:p>
    <w:p>
      <w:r>
        <w:rPr>
          <w:rFonts w:ascii="Courier New" w:hAnsi="Courier New"/>
          <w:sz w:val="17"/>
        </w:rPr>
        <w:t xml:space="preserve">1.8    Abweichungen von den Merkmalen 1.2 bis 1.6:    andere Werte sind zugelassen, wenn diese die Benutzung des Leichtmofas als Fahrrad (Pedalantrieb) auf ebener Strecke von mindestens 10 km Länge in einer Zeit von höchstens 30 Minuten bei einer höchsten Leistungsabgabe zwischen 80 und 100 Watt sicherstellen</w:t>
      </w:r>
    </w:p>
    <w:p>
      <w:r>
        <w:rPr>
          <w:rFonts w:ascii="Courier New" w:hAnsi="Courier New"/>
          <w:sz w:val="17"/>
        </w:rPr>
        <w:t xml:space="preserve">2    Mofa-Merkmale    </w:t>
      </w:r>
    </w:p>
    <w:p>
      <w:r>
        <w:rPr>
          <w:rFonts w:ascii="Courier New" w:hAnsi="Courier New"/>
          <w:sz w:val="17"/>
        </w:rPr>
        <w:t xml:space="preserve">2.1    Hubraum:    nicht mehr als 30 ccm</w:t>
      </w:r>
    </w:p>
    <w:p>
      <w:r>
        <w:rPr>
          <w:rFonts w:ascii="Courier New" w:hAnsi="Courier New"/>
          <w:sz w:val="17"/>
        </w:rPr>
        <w:t xml:space="preserve">2.2    Leistung:    nicht mehr als 0,5 kW</w:t>
      </w:r>
    </w:p>
    <w:p>
      <w:r>
        <w:rPr>
          <w:rFonts w:ascii="Courier New" w:hAnsi="Courier New"/>
          <w:sz w:val="17"/>
        </w:rPr>
        <w:t xml:space="preserve">2.3    Durch die Bauart bestimmte Höchstgeschwindigkeit:    nicht mehr als 20 km/h</w:t>
      </w:r>
    </w:p>
    <w:p>
      <w:r>
        <w:rPr>
          <w:rFonts w:ascii="Courier New" w:hAnsi="Courier New"/>
          <w:sz w:val="17"/>
        </w:rPr>
        <w:t xml:space="preserve">2.4    Bremsen:    es gilt § 41 StVZO</w:t>
      </w:r>
    </w:p>
    <w:p>
      <w:r>
        <w:rPr>
          <w:rFonts w:ascii="Courier New" w:hAnsi="Courier New"/>
          <w:sz w:val="17"/>
        </w:rPr>
        <w:t xml:space="preserve">2.5    Übersetzung zwischen Kurbelwelle und Antriebsrad:    keine Änderungsmöglichkeit</w:t>
      </w:r>
    </w:p>
    <w:p>
      <w:r>
        <w:rPr>
          <w:rFonts w:ascii="Courier New" w:hAnsi="Courier New"/>
          <w:sz w:val="17"/>
        </w:rPr>
        <w:t xml:space="preserve">2.6    Leistungscharakteristik:    derart ausgelegt, daß oberhalb einer Geschwindigkeit, die nicht mehr als 24 km/h betragen darf, keine Überschußleistung zum Antrieb des Fahrzeugs abgegeben werden kann</w:t>
      </w:r>
    </w:p>
    <w:p>
      <w:r>
        <w:rPr>
          <w:rFonts w:ascii="Courier New" w:hAnsi="Courier New"/>
          <w:sz w:val="17"/>
        </w:rPr>
        <w:t xml:space="preserve">2.7    maximaler Geräuschpegel bei Vorbeifahrt in 7,5 m Entfernung mit Höchstgeschwindigkeit    65 dB (A)</w:t>
      </w:r>
    </w:p>
    <w:p>
      <w:r>
        <w:rPr>
          <w:color w:val="555555"/>
          <w:sz w:val="17"/>
        </w:rPr>
        <w:t xml:space="preserve">Zitiervorschlag: Anlage StVRAusnV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https://recht.nulegal.eu/gesetze/StVRAusnV/anlage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