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StVRAusnV</w:t>
      </w:r>
    </w:p>
    <w:p>
      <w:r>
        <w:rPr>
          <w:color w:val="555555"/>
          <w:sz w:val="18"/>
        </w:rPr>
        <w:t xml:space="preserve">Leichtmofa-Ausnahmeverordnung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28. Februar 1993 in Kraft.</w:t>
      </w:r>
    </w:p>
    <w:p>
      <w:r>
        <w:rPr>
          <w:color w:val="555555"/>
          <w:sz w:val="17"/>
        </w:rPr>
        <w:t xml:space="preserve">Zitiervorschlag: § 3 StVRAusnV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https://recht.nulegal.eu/gesetze/StVRAusnV/3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