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StVRAusnV</w:t>
      </w:r>
    </w:p>
    <w:p>
      <w:r>
        <w:rPr>
          <w:color w:val="555555"/>
          <w:sz w:val="18"/>
        </w:rPr>
        <w:t xml:space="preserve">Leichtmofa-Ausnahmeverordnung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Abweichend von § 21a Abs. 2 der Straßenverkehrs-Ordnung brauchen die Führer der Leichtmofas während der Fahrt keinen Schutzhelm zu tragen.</w:t>
      </w:r>
    </w:p>
    <w:p>
      <w:r>
        <w:rPr>
          <w:color w:val="555555"/>
          <w:sz w:val="17"/>
        </w:rPr>
        <w:t xml:space="preserve">Zitiervorschlag: § 2 StVRAusnV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https://recht.nulegal.eu/gesetze/StVRAusnV/2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