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StVRAusnV</w:t>
      </w:r>
    </w:p>
    <w:p>
      <w:r>
        <w:rPr>
          <w:color w:val="555555"/>
          <w:sz w:val="18"/>
        </w:rPr>
        <w:t xml:space="preserve">Leichtmofa-Ausnahmeverordnung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Mofas, die den in der Anlage aufgeführten Merkmalen entsprechen (Leichtmofas), dürfen abweichend von § 50 Abs. 6a und § 53 der Straßenverkehrs-Zulassungs-Ordnung lichttechnische Einrichtungen haben, wie sie für Fahrräder nach § 67 der Straßenverkehrs-Zulassungs-Ordnung vorgeschrieben sind. Dies gilt nur, wenn die in der Anlage Nummer 1.7 genannten Auflagen erfüllt sind.</w:t>
      </w:r>
    </w:p>
    <w:p>
      <w:r>
        <w:rPr>
          <w:color w:val="555555"/>
          <w:sz w:val="17"/>
        </w:rPr>
        <w:t xml:space="preserve">Zitiervorschlag: § 1 StVRAusnV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https://recht.nulegal.eu/gesetze/StVRAusnV/1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