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StVPsychthStVBay_Saar (Bayern) — Anlage des Vermögens</w:t>
      </w:r>
    </w:p>
    <w:p>
      <w:r>
        <w:rPr>
          <w:color w:val="555555"/>
          <w:sz w:val="18"/>
        </w:rPr>
        <w:t xml:space="preserve">Staatsvertrag zwischen dem Freistaat Bayern und dem Saarland über die Zugehörigkeit der Mitglieder der Psychotherapeutenkammer des Saarlandes zur Bayerischen Ingenieurversorgung-Bau mit Psychotherapeutenversorgung Vom 10./21. April 2008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Vermögen des Versorgungswerks, das nach Inkrafttreten dieses Staatsvertrags gebildet wird, soll entsprechend dem Anteil des Beitragsaufkommens der Mitglieder aus dem Saarland am Gesamtbeitragsaufkommen des Versorgungswerks im Saarland angelegt werden.</w:t>
      </w:r>
    </w:p>
    <w:p>
      <w:r>
        <w:rPr>
          <w:color w:val="555555"/>
          <w:sz w:val="17"/>
        </w:rPr>
        <w:t xml:space="preserve">Zitiervorschlag: Art 5 StVPsychthStVBay_Saar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https://recht.nulegal.eu/gesetze/StVPsychthStVBay_Saar/5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