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7 StVOAusnV 9</w:t>
      </w:r>
    </w:p>
    <w:p>
      <w:r>
        <w:rPr>
          <w:color w:val="555555"/>
          <w:sz w:val="18"/>
        </w:rPr>
        <w:t xml:space="preserve">9. Ausnahmeverordnung zur StVO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Bescheinigungen, die nach § 1 Nr. 5 in der bis zum 21. Oktober 2005 geltenden Fassung ausgestellt worden sind, behalten in Bezug auf die darin zum Anhänger der Kombination enthaltenen Angaben weiterhin ihre Gültigkeit.</w:t>
      </w:r>
    </w:p>
    <w:p>
      <w:r>
        <w:rPr>
          <w:color w:val="555555"/>
          <w:sz w:val="17"/>
        </w:rPr>
        <w:t xml:space="preserve">Zitiervorschlag: § 7 StVOAusnV 9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https://recht.nulegal.eu/gesetze/StVOAusnV%209/7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7 StVOAusnV 9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