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StVOAusnV 9</w:t>
      </w:r>
    </w:p>
    <w:p>
      <w:r>
        <w:rPr>
          <w:color w:val="555555"/>
          <w:sz w:val="18"/>
        </w:rPr>
        <w:t xml:space="preserve">9.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Stützlast der Kombination ist an der größtmöglichen Stützlast des Zugfahrzeugs oder des Anhängers zu orientieren, wobei als Obergrenze in jedem Fall der kleinere Wert gilt.</w:t>
      </w:r>
    </w:p>
    <w:p>
      <w:r>
        <w:rPr>
          <w:color w:val="555555"/>
          <w:sz w:val="17"/>
        </w:rPr>
        <w:t xml:space="preserve">Zitiervorschlag: § 4 StVOAusnV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