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StVOAusnV 9</w:t>
      </w:r>
    </w:p>
    <w:p>
      <w:r>
        <w:rPr>
          <w:color w:val="555555"/>
          <w:sz w:val="18"/>
        </w:rPr>
        <w:t xml:space="preserve">9. Ausnahmeverordnung zur StVO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Reifen des Anhängers müssen zum Zeitpunkt der jeweiligen Fahrt, erkennbar am eingeprägten Herstellungsdatum, jünger als sechs Jahre und mindestens mit der Geschwindigkeitskategorie L (= 120 km/h) gekennzeichnet sein.</w:t>
      </w:r>
    </w:p>
    <w:p>
      <w:r>
        <w:rPr>
          <w:color w:val="555555"/>
          <w:sz w:val="17"/>
        </w:rPr>
        <w:t xml:space="preserve">Zitiervorschlag: § 3 StVOAusnV 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https://recht.nulegal.eu/gesetze/StVOAusnV%209/3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