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StVOAusnV 8</w:t>
      </w:r>
    </w:p>
    <w:p>
      <w:r>
        <w:rPr>
          <w:color w:val="555555"/>
          <w:sz w:val="18"/>
        </w:rPr>
        <w:t xml:space="preserve">8. Ausnahmeverordnung zur StVO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6 Abs. 1 Nr. 3 und Abs. 3 des Straßenverkehrsgesetzes in der im Bundesgesetzblatt Teil III, Gliederungsnummer 9231-1, veröffentlichten bereinigten Fassung, Absatz 1 Nr. 3 zuletzt geändert durch das Gesetz vom 6. April 1980 (BGBl. I S. 413), Absatz 3 eingefügt durch § 70 Abs. 1 Nr. 3 des Gesetzes vom 15. März 1974 (BGBl. I S. 721) und geändert gemäß Artikel 22 Nr. 3 der Verordnung vom 26. November 1986 (BGBl. I S. 2089), verordnet das Bundesministerium für Verkehr nach Anhörung der zuständigen obersten Landesbehörden:</w:t>
      </w:r>
    </w:p>
    <w:p>
      <w:r>
        <w:rPr>
          <w:color w:val="555555"/>
          <w:sz w:val="17"/>
        </w:rPr>
        <w:t xml:space="preserve">Zitiervorschlag: Eingangsformel StVOAusnV 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https://recht.nulegal.eu/gesetze/StVOAusnV%208/eingangsformel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