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StVOAusnV 4</w:t>
      </w:r>
    </w:p>
    <w:p>
      <w:r>
        <w:rPr>
          <w:color w:val="555555"/>
          <w:sz w:val="18"/>
        </w:rPr>
        <w:t xml:space="preserve">4. Ausnahmeverordnung zur StVO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Diese Verordnung tritt am Tage nach der Verkündung in Kraft.</w:t>
      </w:r>
    </w:p>
    <w:p>
      <w:r>
        <w:rPr>
          <w:color w:val="555555"/>
          <w:sz w:val="17"/>
        </w:rPr>
        <w:t xml:space="preserve">Zitiervorschlag: § 2 StVOAusnV 4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https://recht.nulegal.eu/gesetze/StVOAusnV%204/2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