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StVOAusnV 12</w:t>
      </w:r>
    </w:p>
    <w:p>
      <w:r>
        <w:rPr>
          <w:color w:val="555555"/>
          <w:sz w:val="18"/>
        </w:rPr>
        <w:t xml:space="preserve">12. Ausnahmeverordnung zur StVO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3 in Verbindung mit Abs. 3 des Straßenverkehrsgesetzes in der Fassung der Bekanntmachung vom 5. März 2003 (BGBl. I S. 310, 919) verordnet das Bundesministerium für Verkehr, Bau- und Wohnungswesen nach Anhörung der zuständigen obersten Landesbehörden:</w:t>
      </w:r>
    </w:p>
    <w:p>
      <w:r>
        <w:rPr>
          <w:color w:val="555555"/>
          <w:sz w:val="17"/>
        </w:rPr>
        <w:t xml:space="preserve">Zitiervorschlag: Eingangsformel StVOAusnV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https://recht.nulegal.eu/gesetze/StVOAusnV%2012/eingangsformel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