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StVOAusnV 12</w:t>
      </w:r>
    </w:p>
    <w:p>
      <w:r>
        <w:rPr>
          <w:color w:val="555555"/>
          <w:sz w:val="18"/>
        </w:rPr>
        <w:t xml:space="preserve">12. Ausnahmeverordnung zur StVO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Abweichend von § 18 Abs. 5 Satz 2 Nr. 1 der Straßenverkehrs-Ordnung beträgt die zulässige Höchstgeschwindigkeit für Kraftfahrzeuge mit einem zulässigen Gesamtgewicht von über 3,5 t bis 7,5 t, die im Fahrzeugschein als Wohnmobil bezeichnet sind, auf Autobahnen (Zeichen 330.1) und Kraftfahrstraßen (Zeichen 331.1) 100 km/h.</w:t>
      </w:r>
    </w:p>
    <w:p>
      <w:r>
        <w:rPr>
          <w:color w:val="555555"/>
          <w:sz w:val="17"/>
        </w:rPr>
        <w:t xml:space="preserve">Zitiervorschlag: § 1 StVOAusnV 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https://recht.nulegal.eu/gesetze/StVOAusnV%2012/1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