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Anhang EV StVO DDR — Auszug aus EinigVtr Anlage II Kapitel XI Sachgebiet B Abschnitt III (BGBl. II 1990, 885, 1223)</w:t>
      </w:r>
    </w:p>
    <w:p>
      <w:r>
        <w:rPr>
          <w:color w:val="555555"/>
          <w:sz w:val="18"/>
        </w:rPr>
        <w:t xml:space="preserve">Straßenverkehrs-Ordnung</w:t>
      </w:r>
    </w:p>
    <w:p>
      <w:r>
        <w:rPr>
          <w:color w:val="555555"/>
          <w:sz w:val="18"/>
        </w:rPr>
        <w:t xml:space="preserve">Historische Fassung: Stand 10.06.2019 bis 29.07.2021. Dies ist nicht die aktuelle Fassung.</w:t>
      </w:r>
    </w:p>
    <w:p>
      <w:r>
        <w:t xml:space="preserve">Abschnitt III Folgendes Recht der Deutschen Demokratischen Republik bleibt mit folgenden Maßgaben in Kraft:</w:t>
      </w:r>
    </w:p>
    <w:p>
      <w:pPr>
        <w:ind w:left="420"/>
      </w:pPr>
      <w:r>
        <w:t xml:space="preserve">1. bis 3. ...</w:t>
      </w:r>
    </w:p>
    <w:p>
      <w:pPr>
        <w:ind w:left="420"/>
      </w:pPr>
      <w:r>
        <w:t xml:space="preserve">4. Straßenverkehrs-Ordnung - StVO - vom 26. Mai 1977 (GBl. I Nr. 20 S. 257), zuletzt geändert durch die Fünfte Verordnung vom 9. September 1986 (GBl. I Nr. 31 S. 417),mit folgenden Maßgaben:</w:t>
      </w:r>
    </w:p>
    <w:p>
      <w:pPr>
        <w:ind w:left="780"/>
      </w:pPr>
      <w:r>
        <w:t xml:space="preserve">a) Die Verordnung gilt bis zum 31. Dezember 1990 fort.</w:t>
      </w:r>
    </w:p>
    <w:p>
      <w:pPr>
        <w:ind w:left="780"/>
      </w:pPr>
      <w:r>
        <w:t xml:space="preserve">b) § 7 Abs. 2 in Verbindung mit § 47 Abs. 1 bis 3 gilt über den 31. Dezember 1990 fort.</w:t>
      </w:r>
    </w:p>
    <w:p>
      <w:pPr>
        <w:ind w:left="780"/>
      </w:pPr>
      <w:r>
        <w:t xml:space="preserve">c) § 12 Abs. 2 Buchstabe b gilt für die in § 3 Abs. 3 Nr. 2 Buchstaben a und c der Straßenverkehrs-Ordnung vom 16. November 1970 (BGBl. I S. 1565, 1971 S. 38), zuletzt geändert durch Verordnung vom 9. November 1989 (BGBl. I S. 1976), bezeichneten Kraftfahrzeuge bis zum 31. Dezember 1992.</w:t>
      </w:r>
    </w:p>
    <w:p>
      <w:pPr>
        <w:ind w:left="780"/>
      </w:pPr>
      <w:r>
        <w:t xml:space="preserve">d) § 12 Abs. 2 Buchstabe c gilt für Personenkraftwagen sowie für andere Kraftfahrzeuge mit einem zulässigen Gesamtgewicht bis 2,8 t bis zum 31. Dezember 1991.</w:t>
      </w:r>
    </w:p>
    <w:p>
      <w:pPr>
        <w:ind w:left="780"/>
      </w:pPr>
      <w:r>
        <w:t xml:space="preserve">e) Die Verkehrszeichen der Anlage 2 Bilder 215 (Wendeverbot), 419 (nicht gültig für abgebildete Fahrzeugart), 421 (nicht gültig für Schwerst-Gehbehinderte mit Ausnahmegenehmigung) und 422 (gültig bei Nässe) behalten ihre bisherige Bedeutung.</w:t>
      </w:r>
    </w:p>
    <w:p>
      <w:pPr>
        <w:ind w:left="780"/>
      </w:pPr>
      <w:r>
        <w:t xml:space="preserve">f) Zuwiderhandlungen gegen die in den Buchstaben a bis d genannten Vorschriften und Zuwiderhandlungen gegen das mit Bild 215 angeordnete Verbot sowie gegen eine jeweils zusammen mit Bild 422 angeordnete Beschränkung stehen Ordnungswidrigkeiten im Sinne des § 24 des Straßenverkehrsgesetzes in der im Bundesgesetzblatt Teil III, Gliederungsnummer 9231-1, veröffentlichten bereinigten Fassung, zuletzt geändert durch Gesetz vom 28. Januar 1987 (BGBl. I S. 486), gleich.</w:t>
      </w:r>
    </w:p>
    <w:p>
      <w:pPr>
        <w:ind w:left="420"/>
      </w:pPr>
      <w:r>
        <w:t xml:space="preserve">5. bis 7. ...</w:t>
      </w:r>
    </w:p>
    <w:p>
      <w:r>
        <w:rPr>
          <w:color w:val="555555"/>
          <w:sz w:val="17"/>
        </w:rPr>
        <w:t xml:space="preserve">Zitiervorschlag: Anhang EV StVO DDR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https://recht.nulegal.eu/gesetze/StVO%20DDR/anhang-ev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