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7 StVO DDR — Fahrtüchtigkeit</w:t>
      </w:r>
    </w:p>
    <w:p>
      <w:r>
        <w:rPr>
          <w:color w:val="555555"/>
          <w:sz w:val="18"/>
        </w:rPr>
        <w:t xml:space="preserve">Straßenverkehrs-Ordnung</w:t>
      </w:r>
    </w:p>
    <w:p>
      <w:r>
        <w:rPr>
          <w:color w:val="555555"/>
          <w:sz w:val="18"/>
        </w:rPr>
        <w:t xml:space="preserve">Historische Fassung: Stand 10.06.2019 bis 29.07.2021. Dies ist nicht die aktuelle Fassung.</w:t>
      </w:r>
    </w:p>
    <w:p>
      <w:r>
        <w:t xml:space="preserve">(1)</w:t>
      </w:r>
    </w:p>
    <w:p>
      <w:r>
        <w:t xml:space="preserve">(2) Fahrzeugführer dürfen bei Antritt und während der Fahrt nicht unter Einwirkung von Alkohol stehen.</w:t>
      </w:r>
    </w:p>
    <w:p>
      <w:r>
        <w:t xml:space="preserve">(3)</w:t>
      </w:r>
    </w:p>
    <w:p>
      <w:r>
        <w:t xml:space="preserve">(4)</w:t>
      </w:r>
    </w:p>
    <w:p>
      <w:r>
        <w:rPr>
          <w:color w:val="555555"/>
          <w:sz w:val="17"/>
        </w:rPr>
        <w:t xml:space="preserve">Zitiervorschlag: § 7 StVO DDR</w:t>
      </w:r>
    </w:p>
    <w:p>
      <w:r>
        <w:rPr>
          <w:color w:val="555555"/>
          <w:sz w:val="17"/>
        </w:rPr>
        <w:t xml:space="preserve">Quelle: Bundesamt für Justiz (Archivstand),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https://recht.nulegal.eu/gesetze/StVO%20DDR/7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