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StVO 2013 — Abgehende Fahrstreifen, Einfädelungs- und Ausfädelungsstreifen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Gehen Fahrstreifen, insbesondere auf Autobahnen und Kraftfahrstraßen, von der durchgehenden Fahrbahn ab, darf beim Abbiegen vom Beginn einer breiten Leitlinie (Zeichen 340) rechts von dieser schneller als auf der durchgehenden Fahrbahn gefahren werden.</w:t>
      </w:r>
    </w:p>
    <w:p>
      <w:r>
        <w:t xml:space="preserve">(2) Auf Autobahnen und anderen Straßen außerhalb geschlossener Ortschaften darf auf Einfädelungsstreifen schneller gefahren werden als auf den durchgehenden Fahrstreifen.</w:t>
      </w:r>
    </w:p>
    <w:p>
      <w:r>
        <w:t xml:space="preserve">(3) Auf Ausfädelungsstreifen darf nicht schneller gefahren werden als auf den durchgehenden Fahrstreifen. Stockt oder steht der Verkehr auf den durchgehenden Fahrstreifen, darf auf dem Ausfädelungsstreifen mit mäßiger Geschwindigkeit und besonderer Vorsicht überholt werden.</w:t>
      </w:r>
    </w:p>
    <w:p>
      <w:r>
        <w:rPr>
          <w:color w:val="555555"/>
          <w:sz w:val="17"/>
        </w:rPr>
        <w:t xml:space="preserve">Zitiervorschlag: § 7a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