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StVO 2013 — Vorbeifahren</w:t>
      </w:r>
    </w:p>
    <w:p>
      <w:r>
        <w:rPr>
          <w:color w:val="555555"/>
          <w:sz w:val="18"/>
        </w:rPr>
        <w:t xml:space="preserve">Straßenverkehrs-Ordnung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an einer Fahrbahnverengung, einem Hindernis auf der Fahrbahn oder einem haltenden Fahrzeug links vorbeifahren will, muss entgegenkommende Fahrzeuge durchfahren lassen. Satz 1 gilt nicht, wenn der Vorrang durch Verkehrszeichen (Zeichen 208, 308) anders geregelt ist. Muss ausgeschert werden, ist auf den nachfolgenden Verkehr zu achten und das Ausscheren sowie das Wiedereinordnen – wie beim Überholen – anzukündigen.</w:t>
      </w:r>
    </w:p>
    <w:p>
      <w:r>
        <w:rPr>
          <w:color w:val="555555"/>
          <w:sz w:val="17"/>
        </w:rPr>
        <w:t xml:space="preserve">Zitiervorschlag: § 6 StVO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https://recht.nulegal.eu/gesetze/StVO%202013/6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