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StVO 2013 — Inkrafttreten, Außerkrafttreten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Diese Verordnung tritt am 1. April 2013 in Kraft.</w:t>
      </w:r>
    </w:p>
    <w:p>
      <w:r>
        <w:t xml:space="preserve">(2) Die Straßenverkehrs-Ordnung vom 16. November 1970 (BGBl. I S. 1565; 1971 I S. 38), die zuletzt durch Artikel 1 der Verordnung vom 1. Dezember 2010 (BGBl. I S. 1737) geändert worden ist, tritt mit folgenden Maßgaben an dem in Absatz 1 bezeichneten Tag außer Kraft:</w:t>
      </w:r>
    </w:p>
    <w:p>
      <w:pPr>
        <w:ind w:left="420"/>
      </w:pPr>
      <w:r>
        <w:t xml:space="preserve">1. Verkehrszeichen in der Gestaltung nach der bis zum 1. Juli 1992 geltenden Fassung behalten weiterhin ihre Gültigkeit.</w:t>
      </w:r>
    </w:p>
    <w:p>
      <w:pPr>
        <w:ind w:left="420"/>
      </w:pPr>
      <w:r>
        <w:t xml:space="preserve">2. Für Kraftomnibusse, die vor dem 8. Dezember 2007 erstmals in den Verkehr gekommen sind, ist § 18 Absatz 5 Nummer 3 in der vor dem 8. Dezember 2007 geltenden Fassung weiter anzuwenden.</w:t>
      </w:r>
    </w:p>
    <w:p>
      <w:pPr>
        <w:ind w:left="420"/>
      </w:pPr>
      <w:r>
        <w:t xml:space="preserve">3. Zusatzzeichen zu Zeichen 220, durch die nach den bis zum 1. April 2013 geltenden Vorschriften der Fahrradverkehr in der Gegenrichtung zugelassen werden konnte, soweit in einer Einbahnstraße mit geringer Verkehrsbelastung die zulässige Höchstgeschwindigkeit durch Verkehrszeichen auf 30 km/h oder weniger beschränkt ist, bleiben bis zum 1. April 2017 gültig.</w:t>
      </w:r>
    </w:p>
    <w:p>
      <w:pPr>
        <w:ind w:left="420"/>
      </w:pPr>
      <w:r>
        <w:t xml:space="preserve">4. Die bis zum 1. April 2013 angeordneten Zeichen 150, 153, 353, 380, 381, 388 und 389 bleiben bis zum 31. Oktober 2022 gültig.</w:t>
      </w:r>
    </w:p>
    <w:p>
      <w:pPr>
        <w:ind w:left="420"/>
      </w:pPr>
      <w:r>
        <w:t xml:space="preserve">5. Bereits angeordnete Zeichen 311, die im oberen Teil weiß sind, wenn die Ortschaft, auf die hingewiesen wird, zu derselben Gemeinde wie die zuvor durchfahrene Ortschaft gehört, bleiben weiterhin gültig.</w:t>
      </w:r>
    </w:p>
    <w:p>
      <w:r>
        <w:rPr>
          <w:color w:val="555555"/>
          <w:sz w:val="17"/>
        </w:rPr>
        <w:t xml:space="preserve">Zitiervorschlag: § 53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