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51 StVO 2013 — Besondere Kostenregelung</w:t>
      </w:r>
    </w:p>
    <w:p>
      <w:r>
        <w:rPr>
          <w:color w:val="555555"/>
          <w:sz w:val="18"/>
        </w:rPr>
        <w:t xml:space="preserve">Straßenverkehrs-Ordnung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Kosten der Zeichen 386.1, 386.2 und 386.3 trägt abweichend von § 5b Absatz 1 des Straßenverkehrsgesetzes derjenige, der die Aufstellung dieses Zeichens beantragt.</w:t>
      </w:r>
    </w:p>
    <w:p>
      <w:r>
        <w:rPr>
          <w:color w:val="555555"/>
          <w:sz w:val="17"/>
        </w:rPr>
        <w:t xml:space="preserve">Zitiervorschlag: § 51 StVO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https://recht.nulegal.eu/gesetze/StVO%202013/51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