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StVO 2013 — Ordnungswidrigkeiten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11.10.2024 (konsolidierte Textfassung, kein amtliches Inkrafttretensdatum)</w:t>
      </w:r>
    </w:p>
    <w:p>
      <w:r>
        <w:t xml:space="preserve">(1) Ordnungswidrig im Sinne des § 24 Absatz 1 des Straßenverkehrsgesetzes handelt, wer vorsätzlich oder fahrlässig gegen eine Vorschrift über</w:t>
      </w:r>
    </w:p>
    <w:p>
      <w:pPr>
        <w:ind w:left="420"/>
      </w:pPr>
      <w:r>
        <w:t xml:space="preserve">1. das allgemeine Verhalten im Straßenverkehr nach § 1 Absatz 2,</w:t>
      </w:r>
    </w:p>
    <w:p>
      <w:pPr>
        <w:ind w:left="420"/>
      </w:pPr>
      <w:r>
        <w:t xml:space="preserve">2. die Straßenbenutzung durch Fahrzeuge nach § 2 Absatz 1 bis 3a, Absatz 4 Satz 1, 4, 5 oder 6 oder Absatz 5,</w:t>
      </w:r>
    </w:p>
    <w:p>
      <w:pPr>
        <w:ind w:left="420"/>
      </w:pPr>
      <w:r>
        <w:t xml:space="preserve">3. die Geschwindigkeit nach § 3,</w:t>
      </w:r>
    </w:p>
    <w:p>
      <w:pPr>
        <w:ind w:left="420"/>
      </w:pPr>
      <w:r>
        <w:t xml:space="preserve">4. den Abstand nach § 4,</w:t>
      </w:r>
    </w:p>
    <w:p>
      <w:pPr>
        <w:ind w:left="420"/>
      </w:pPr>
      <w:r>
        <w:t xml:space="preserve">5. das Überholen nach § 5 Absatz 1 oder 2, Absatz 3 Nummer 1, Absatz 3a bis 4a, Absatz 5 Satz 2, Absatz 6 oder 7,</w:t>
      </w:r>
    </w:p>
    <w:p>
      <w:pPr>
        <w:ind w:left="420"/>
      </w:pPr>
      <w:r>
        <w:t xml:space="preserve">6. das Vorbeifahren nach § 6,</w:t>
      </w:r>
    </w:p>
    <w:p>
      <w:pPr>
        <w:ind w:left="420"/>
      </w:pPr>
      <w:r>
        <w:t xml:space="preserve">7. das Benutzen linker Fahrstreifen nach § 7 Absatz 3a Satz 1, auch in Verbindung mit Satz 2, Absatz 3b, Absatz 3c Satz 3 oder den Fahrstreifenwechsel nach § 7 Absatz 5,</w:t>
      </w:r>
    </w:p>
    <w:p>
      <w:pPr>
        <w:ind w:left="420"/>
      </w:pPr>
      <w:r>
        <w:t xml:space="preserve">7a. das Verhalten auf Ausfädelungsstreifen nach § 7a Absatz 3,</w:t>
      </w:r>
    </w:p>
    <w:p>
      <w:pPr>
        <w:ind w:left="420"/>
      </w:pPr>
      <w:r>
        <w:t xml:space="preserve">8. die Vorfahrt nach § 8,</w:t>
      </w:r>
    </w:p>
    <w:p>
      <w:pPr>
        <w:ind w:left="420"/>
      </w:pPr>
      <w:r>
        <w:t xml:space="preserve">9. das Abbiegen, Wenden oder Rückwärtsfahren nach § 9 Absatz 1, Absatz 2 Satz 2 oder 3, Absatz 3 bis 6,</w:t>
      </w:r>
    </w:p>
    <w:p>
      <w:pPr>
        <w:ind w:left="420"/>
      </w:pPr>
      <w:r>
        <w:t xml:space="preserve">10. das Einfahren oder Anfahren nach § 10 Satz 1 oder Satz 2,</w:t>
      </w:r>
    </w:p>
    <w:p>
      <w:pPr>
        <w:ind w:left="420"/>
      </w:pPr>
      <w:r>
        <w:t xml:space="preserve">11. das Verhalten bei besonderen Verkehrslagen nach § 11 Absatz 1 oder 2,</w:t>
      </w:r>
    </w:p>
    <w:p>
      <w:pPr>
        <w:ind w:left="420"/>
      </w:pPr>
      <w:r>
        <w:t xml:space="preserve">12. das Halten oder Parken nach § 12 Absatz 1, 3, 3a Satz 1, Absatz 3b Satz 1, Absatz 4 Satz 1, 2 zweiter Halbsatz, Satz 3 oder 5 oder Absatz 4a bis 6,</w:t>
      </w:r>
    </w:p>
    <w:p>
      <w:pPr>
        <w:ind w:left="420"/>
      </w:pPr>
      <w:r>
        <w:t xml:space="preserve">13. Parkuhren, Parkscheine oder Parkscheiben nach § 13 Absatz 1 oder 2,</w:t>
      </w:r>
    </w:p>
    <w:p>
      <w:pPr>
        <w:ind w:left="420"/>
      </w:pPr>
      <w:r>
        <w:t xml:space="preserve">14. die Sorgfaltspflichten beim Ein- oder Aussteigen nach § 14,</w:t>
      </w:r>
    </w:p>
    <w:p>
      <w:pPr>
        <w:ind w:left="420"/>
      </w:pPr>
      <w:r>
        <w:t xml:space="preserve">15. das Liegenbleiben von Fahrzeugen nach § 15,</w:t>
      </w:r>
    </w:p>
    <w:p>
      <w:pPr>
        <w:ind w:left="420"/>
      </w:pPr>
      <w:r>
        <w:t xml:space="preserve">15a. das Abschleppen nach § 15a,</w:t>
      </w:r>
    </w:p>
    <w:p>
      <w:pPr>
        <w:ind w:left="420"/>
      </w:pPr>
      <w:r>
        <w:t xml:space="preserve">16. die Abgabe von Warnzeichen nach § 16,</w:t>
      </w:r>
    </w:p>
    <w:p>
      <w:pPr>
        <w:ind w:left="420"/>
      </w:pPr>
      <w:r>
        <w:t xml:space="preserve">17. die Beleuchtung und das Stehenlassen unbeleuchteter Fahrzeuge nach § 17 Absatz 1 bis 4, Absatz 4a Satz 1, Absatz 5 oder 6,</w:t>
      </w:r>
    </w:p>
    <w:p>
      <w:pPr>
        <w:ind w:left="420"/>
      </w:pPr>
      <w:r>
        <w:t xml:space="preserve">18. die Benutzung von Autobahnen und Kraftfahrstraßen nach § 18 Absatz 1 bis 3, Absatz 5 Satz 2 oder Absatz 6 bis 11,</w:t>
      </w:r>
    </w:p>
    <w:p>
      <w:pPr>
        <w:ind w:left="420"/>
      </w:pPr>
      <w:r>
        <w:t xml:space="preserve">19. das Verhalten</w:t>
      </w:r>
    </w:p>
    <w:p>
      <w:pPr>
        <w:ind w:left="780"/>
      </w:pPr>
      <w:r>
        <w:t xml:space="preserve">a) an Bahnübergängen nach § 19 Absatz 1 Satz 1 Nummer 2 oder 3, Satz 2, Satz 3 oder Absatz 2 Satz 1, auch in Verbindung mit Satz 2 oder Absatz 3 bis 6 oder</w:t>
      </w:r>
    </w:p>
    <w:p>
      <w:pPr>
        <w:ind w:left="780"/>
      </w:pPr>
      <w:r>
        <w:t xml:space="preserve">b) an und vor Haltestellen von öffentlichen Verkehrsmitteln und Schulbussen nach § 20,</w:t>
      </w:r>
    </w:p>
    <w:p>
      <w:pPr>
        <w:ind w:left="420"/>
      </w:pPr>
      <w:r>
        <w:t xml:space="preserve">20. die Personenbeförderung nach § 21 Absatz 1 Satz 1 oder 4, Absatz 1a Satz 1, auch in Verbindung mit Satz 2 Nummer 2, Absatz 2 Satz 1, 4 oder 6 oder Absatz 3 Satz 1 bis 3,</w:t>
      </w:r>
    </w:p>
    <w:p>
      <w:pPr>
        <w:ind w:left="420"/>
      </w:pPr>
      <w:r>
        <w:t xml:space="preserve">20a. das Anlegen von Sicherheitsgurten, Rollstuhl-Rückhaltesystemen oder Rollstuhlnutzer-Rückhaltesystemen nach § 21a Absatz 1 Satz 1 oder das Tragen von Schutzhelmen nach § 21a Absatz 2 Satz 1,</w:t>
      </w:r>
    </w:p>
    <w:p>
      <w:pPr>
        <w:ind w:left="420"/>
      </w:pPr>
      <w:r>
        <w:t xml:space="preserve">21. die Ladung nach § 22,</w:t>
      </w:r>
    </w:p>
    <w:p>
      <w:pPr>
        <w:ind w:left="420"/>
      </w:pPr>
      <w:r>
        <w:t xml:space="preserve">22. sonstige Pflichten des Fahrzeugführers nach § 23 Absatz 1, Absatz 1a Satz 1, auch in Verbindung mit den Sätzen 2 bis 4, oder Absatz 1c, Absatz 1d Satz 1, Absatz 2 erster Halbsatz, Absatz 3 oder Absatz 4 Satz 1,</w:t>
      </w:r>
    </w:p>
    <w:p>
      <w:pPr>
        <w:ind w:left="420"/>
      </w:pPr>
      <w:r>
        <w:t xml:space="preserve">23. das Fahren mit Krankenfahrstühlen oder anderen als in § 24 Absatz 1 genannten Rollstühlen nach § 24 Absatz 2,</w:t>
      </w:r>
    </w:p>
    <w:p>
      <w:pPr>
        <w:ind w:left="420"/>
      </w:pPr>
      <w:r>
        <w:t xml:space="preserve">24. das Verhalten</w:t>
      </w:r>
    </w:p>
    <w:p>
      <w:pPr>
        <w:ind w:left="780"/>
      </w:pPr>
      <w:r>
        <w:t xml:space="preserve">a) als zu Fuß Gehender nach § 25 Absatz 1 bis 4,</w:t>
      </w:r>
    </w:p>
    <w:p>
      <w:pPr>
        <w:ind w:left="780"/>
      </w:pPr>
      <w:r>
        <w:t xml:space="preserve">b) an Fußgängerüberwegen nach § 26 oder</w:t>
      </w:r>
    </w:p>
    <w:p>
      <w:pPr>
        <w:ind w:left="780"/>
      </w:pPr>
      <w:r>
        <w:t xml:space="preserve">c) auf Brücken nach § 27 Absatz 6,</w:t>
      </w:r>
    </w:p>
    <w:p>
      <w:pPr>
        <w:ind w:left="420"/>
      </w:pPr>
      <w:r>
        <w:t xml:space="preserve">25. den Umweltschutz nach § 30 Absatz 1 oder 2 oder das Sonn- und Feiertagsfahrverbot nach § 30 Absatz 3 Satz 1 oder 2 Nummer 7 Satz 2,</w:t>
      </w:r>
    </w:p>
    <w:p>
      <w:pPr>
        <w:ind w:left="420"/>
      </w:pPr>
      <w:r>
        <w:t xml:space="preserve">26. das Sporttreiben oder Spielen nach § 31 Absatz 1 Satz 1, Absatz 2 Satz 3,</w:t>
      </w:r>
    </w:p>
    <w:p>
      <w:pPr>
        <w:ind w:left="420"/>
      </w:pPr>
      <w:r>
        <w:t xml:space="preserve">27. das Bereiten, Beseitigen oder Kenntlichmachen von verkehrswidrigen Zuständen oder die wirksame Verkleidung gefährlicher Geräte nach § 32,</w:t>
      </w:r>
    </w:p>
    <w:p>
      <w:pPr>
        <w:ind w:left="420"/>
      </w:pPr>
      <w:r>
        <w:t xml:space="preserve">28. Verkehrsbeeinträchtigungen nach § 33 Absatz 1 oder 2 oder</w:t>
      </w:r>
    </w:p>
    <w:p>
      <w:pPr>
        <w:ind w:left="420"/>
      </w:pPr>
      <w:r>
        <w:t xml:space="preserve">29. das Verhalten nach einem Verkehrsunfall nach § 34 Absatz 1 Nummer 1, Nummer 2, Nummer 5 oder Nummer 6 Buchstabe b – sofern in diesem letzten Fall zwar eine nach den Umständen angemessene Frist gewartet, aber nicht Name und Anschrift am Unfallort hinterlassen wird – oder nach § 34 Absatz 3,</w:t>
      </w:r>
    </w:p>
    <w:p>
      <w:r>
        <w:t xml:space="preserve">verstößt.</w:t>
      </w:r>
    </w:p>
    <w:p>
      <w:r>
        <w:t xml:space="preserve">(2) Ordnungswidrig im Sinne des § 24 Absatz 1 des Straßenverkehrsgesetzes handelt auch, wer vorsätzlich oder fahrlässig</w:t>
      </w:r>
    </w:p>
    <w:p>
      <w:pPr>
        <w:ind w:left="420"/>
      </w:pPr>
      <w:r>
        <w:t xml:space="preserve">1. als Führer eines geschlossenen Verbandes entgegen § 27 Absatz 5 nicht dafür sorgt, dass die für geschlossene Verbände geltenden Vorschriften befolgt werden,</w:t>
      </w:r>
    </w:p>
    <w:p>
      <w:pPr>
        <w:ind w:left="420"/>
      </w:pPr>
      <w:r>
        <w:t xml:space="preserve">1a. entgegen § 27 Absatz 2 einen geschlossenen Verband unterbricht,</w:t>
      </w:r>
    </w:p>
    <w:p>
      <w:pPr>
        <w:ind w:left="420"/>
      </w:pPr>
      <w:r>
        <w:t xml:space="preserve">2. als Führer einer Kinder- oder Jugendgruppe entgegen § 27 Absatz 1 Satz 4 diese nicht den Gehweg benutzen lässt,</w:t>
      </w:r>
    </w:p>
    <w:p>
      <w:pPr>
        <w:ind w:left="420"/>
      </w:pPr>
      <w:r>
        <w:t xml:space="preserve">3. als Tierhalter oder sonst für die Tiere Verantwortlicher einer Vorschrift nach § 28 Absatz 1 oder Absatz 2 Satz 2 zuwiderhandelt,</w:t>
      </w:r>
    </w:p>
    <w:p>
      <w:pPr>
        <w:ind w:left="420"/>
      </w:pPr>
      <w:r>
        <w:t xml:space="preserve">4. als Reiter, Führer von Pferden, Treiber oder Führer von Vieh entgegen § 28 Absatz 2 einer für den gesamten Fahrverkehr einheitlich bestehenden Verkehrsregel oder Anordnung zuwiderhandelt,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entgegen § 29 Absatz 2 Satz 1 eine Veranstaltung durchführt oder als Veranstaltender entgegen § 29 Absatz 2 Satz 3 nicht dafür sorgt, dass die in Betracht kommenden Verkehrsvorschriften oder Auflagen befolgt werden, oder</w:t>
      </w:r>
    </w:p>
    <w:p>
      <w:pPr>
        <w:ind w:left="420"/>
      </w:pPr>
      <w:r>
        <w:t xml:space="preserve">7. entgegen § 29 Absatz 3 ein dort genanntes Fahrzeug oder einen Zug führt.</w:t>
      </w:r>
    </w:p>
    <w:p>
      <w:r>
        <w:t xml:space="preserve">(3) Ordnungswidrig im Sinne des § 24 Absatz 1 des Straßenverkehrsgesetzes handelt ferner, wer vorsätzlich oder fahrlässig</w:t>
      </w:r>
    </w:p>
    <w:p>
      <w:pPr>
        <w:ind w:left="420"/>
      </w:pPr>
      <w:r>
        <w:t xml:space="preserve">1. entgegen § 36 Absatz 1 Satz 1, auch in Verbindung mit Absatz 3 oder Absatz 4, oder entgegen § 36 Absatz 5 Satz 4 oder § 36a Satz 1 ein Zeichen, eine Weisung oder eine Anweisung nicht befolgt,</w:t>
      </w:r>
    </w:p>
    <w:p>
      <w:pPr>
        <w:ind w:left="420"/>
      </w:pPr>
      <w:r>
        <w:t xml:space="preserve">2. einer Vorschrift des § 37 über das Verhalten an Wechsellichtzeichen, Dauerlichtzeichen oder beim Rechtsabbiegen mit Grünpfeil zuwiderhandelt,</w:t>
      </w:r>
    </w:p>
    <w:p>
      <w:pPr>
        <w:ind w:left="420"/>
      </w:pPr>
      <w:r>
        <w:t xml:space="preserve">3. entgegen § 38 Absatz 1, 2 oder 3 Satz 3 blaues Blinklicht zusammen mit dem Einsatzhorn oder allein oder gelbes Blinklicht verwendet oder entgegen § 38 Absatz 1 Satz 2 nicht sofort freie Bahn schafft,</w:t>
      </w:r>
    </w:p>
    <w:p>
      <w:pPr>
        <w:ind w:left="420"/>
      </w:pPr>
      <w:r>
        <w:t xml:space="preserve">4. entgegen § 41 Absatz 1 ein durch Vorschriftzeichen angeordnetes Ge- oder Verbot der Anlage 2 Spalte 3 nicht befolgt,</w:t>
      </w:r>
    </w:p>
    <w:p>
      <w:pPr>
        <w:ind w:left="420"/>
      </w:pPr>
      <w:r>
        <w:t xml:space="preserve">5. entgegen § 42 Absatz 2 ein durch Richtzeichen angeordnetes Ge- oder Verbot der Anlage 3 Spalte 3 nicht befolgt,</w:t>
      </w:r>
    </w:p>
    <w:p>
      <w:pPr>
        <w:ind w:left="420"/>
      </w:pPr>
      <w:r>
        <w:t xml:space="preserve">6. entgegen § 43 Absatz 3 Satz 2 eine abgesperrte Straßenfläche befährt oder</w:t>
      </w:r>
    </w:p>
    <w:p>
      <w:pPr>
        <w:ind w:left="420"/>
      </w:pPr>
      <w:r>
        <w:t xml:space="preserve">7. einer den Verkehr verbietenden oder beschränkenden Anordnung, die nach § 45 Absatz 4 zweiter Halbsatz bekannt gegeben worden ist, zuwiderhandelt.</w:t>
      </w:r>
    </w:p>
    <w:p>
      <w:r>
        <w:t xml:space="preserve">(4) Ordnungswidrig im Sinne des § 24 Absatz 1 des Straßenverkehrsgesetzes handelt schließlich, wer vorsätzlich oder fahrlässig</w:t>
      </w:r>
    </w:p>
    <w:p>
      <w:pPr>
        <w:ind w:left="420"/>
      </w:pPr>
      <w:r>
        <w:t xml:space="preserve">1. dem Verbot des § 35 Absatz 6 Satz 1, 2 oder 3 über die Reinigung von Gehwegen zuwiderhandelt,</w:t>
      </w:r>
    </w:p>
    <w:p>
      <w:pPr>
        <w:ind w:left="420"/>
      </w:pPr>
      <w:r>
        <w:t xml:space="preserve">1a. entgegen § 35 Absatz 6 Satz 4 keine auffällige Warnkleidung trägt,</w:t>
      </w:r>
    </w:p>
    <w:p>
      <w:pPr>
        <w:ind w:left="420"/>
      </w:pPr>
      <w:r>
        <w:t xml:space="preserve">2. entgegen § 35 Absatz 8 Sonderrechte ausübt, ohne die öffentliche Sicherheit und Ordnung gebührend zu berücksichtigen,</w:t>
      </w:r>
    </w:p>
    <w:p>
      <w:pPr>
        <w:ind w:left="420"/>
      </w:pPr>
      <w:r>
        <w:t xml:space="preserve">3. entgegen § 45 Absatz 6 mit Arbeiten beginnt, ohne zuvor Anordnungen eingeholt zu haben, diese Anordnungen nicht befolgt oder Lichtzeichenanlagen nicht bedient,</w:t>
      </w:r>
    </w:p>
    <w:p>
      <w:pPr>
        <w:ind w:left="420"/>
      </w:pPr>
      <w:r>
        <w:t xml:space="preserve">4. entgegen § 46 Absatz 3 Satz 1 eine vollziehbare Auflage der Ausnahmegenehmigung oder Erlaubnis nicht befolgt,</w:t>
      </w:r>
    </w:p>
    <w:p>
      <w:pPr>
        <w:ind w:left="420"/>
      </w:pPr>
      <w:r>
        <w:t xml:space="preserve">5. entgegen § 46 Absatz 3 Satz 3, auch in Verbindung mit Satz 4, die Bescheide, Ausdrucke oder deren digitalisierte Form nicht mitführt oder auf Verlangen nicht aushändigt oder sichtbar macht,</w:t>
      </w:r>
    </w:p>
    <w:p>
      <w:pPr>
        <w:ind w:left="420"/>
      </w:pPr>
      <w:r>
        <w:t xml:space="preserve">6. entgegen § 48 einer Vorladung zum Verkehrsunterricht nicht folgt oder</w:t>
      </w:r>
    </w:p>
    <w:p>
      <w:pPr>
        <w:ind w:left="420"/>
      </w:pPr>
      <w:r>
        <w:t xml:space="preserve">7. entgegen § 50 auf der Insel Helgoland ein Kraftfahrzeug führt oder mit einem Fahrrad fährt.</w:t>
      </w:r>
    </w:p>
    <w:p>
      <w:r>
        <w:rPr>
          <w:color w:val="555555"/>
          <w:sz w:val="17"/>
        </w:rPr>
        <w:t xml:space="preserve">Zitiervorschlag: § 49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