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StVO 2013 — Verkehrszeichen und Verkehrseinrichtungen</w:t>
      </w:r>
    </w:p>
    <w:p>
      <w:r>
        <w:rPr>
          <w:color w:val="555555"/>
          <w:sz w:val="18"/>
        </w:rPr>
        <w:t xml:space="preserve">Straßenverkehrs-Ordnung</w:t>
      </w:r>
    </w:p>
    <w:p>
      <w:r>
        <w:rPr>
          <w:color w:val="555555"/>
          <w:sz w:val="18"/>
        </w:rPr>
        <w:t xml:space="preserve">Stand: 11.10.2024 (konsolidierte Textfassung, kein amtliches Inkrafttretensdatum)</w:t>
      </w:r>
    </w:p>
    <w:p>
      <w:r>
        <w:t xml:space="preserve">(1) Die Straßenverkehrsbehörden können die Benutzung bestimmter Straßen oder Straßenstrecken aus Gründen der Sicherheit oder Ordnung des Verkehrs beschränken oder verbieten und den Verkehr umleiten. Das gleiche Recht haben sie</w:t>
      </w:r>
    </w:p>
    <w:p>
      <w:pPr>
        <w:ind w:left="420"/>
      </w:pPr>
      <w:r>
        <w:t xml:space="preserve">1. zur Durchführung von Arbeiten im Straßenraum,</w:t>
      </w:r>
    </w:p>
    <w:p>
      <w:pPr>
        <w:ind w:left="420"/>
      </w:pPr>
      <w:r>
        <w:t xml:space="preserve">2. zur Verhütung außerordentlicher Schäden an der Straße,</w:t>
      </w:r>
    </w:p>
    <w:p>
      <w:pPr>
        <w:ind w:left="420"/>
      </w:pPr>
      <w:r>
        <w:t xml:space="preserve">3. zum Schutz der Wohnbevölkerung vor Lärm und Abgasen,</w:t>
      </w:r>
    </w:p>
    <w:p>
      <w:pPr>
        <w:ind w:left="420"/>
      </w:pPr>
      <w:r>
        <w:t xml:space="preserve">4. zum Schutz der Gewässer und Heilquellen,</w:t>
      </w:r>
    </w:p>
    <w:p>
      <w:pPr>
        <w:ind w:left="420"/>
      </w:pPr>
      <w:r>
        <w:t xml:space="preserve">5. hinsichtlich der zur Erhaltung der öffentlichen Sicherheit erforderlichen Maßnahmen sowie</w:t>
      </w:r>
    </w:p>
    <w:p>
      <w:pPr>
        <w:ind w:left="420"/>
      </w:pPr>
      <w:r>
        <w:t xml:space="preserve">6. zur Erforschung des Unfallgeschehens, des Verkehrsverhaltens, der Verkehrsabläufe sowie zur Erprobung geplanter verkehrssichernder oder verkehrsregelnder Maßnahmen,</w:t>
      </w:r>
    </w:p>
    <w:p>
      <w:pPr>
        <w:ind w:left="420"/>
      </w:pPr>
      <w:r>
        <w:t xml:space="preserve">7. zur Verbesserung des Schutzes der Umwelt, darunter des Klimaschutzes, zum Schutz der Gesundheit oder zur Unterstützung der geordneten städtebaulichen Entwicklung, sofern die Leichtigkeit des Verkehrs berücksichtigt ist und die Sicherheit des Verkehrs nicht beeinträchtigt wird, hinsichtlich</w:t>
      </w:r>
    </w:p>
    <w:p>
      <w:pPr>
        <w:ind w:left="780"/>
      </w:pPr>
      <w:r>
        <w:t xml:space="preserve">a) der Einrichtung von Sonderfahrstreifen und bevorrechtigenden Lichtzeichenregelungen für Linienbusse und</w:t>
      </w:r>
    </w:p>
    <w:p>
      <w:pPr>
        <w:ind w:left="780"/>
      </w:pPr>
      <w:r>
        <w:t xml:space="preserve">b) der Bereitstellung angemessener Flächen für den fließenden und ruhenden Fahrradverkehr sowie für den Fußverkehr.</w:t>
      </w:r>
    </w:p>
    <w:p>
      <w:r>
        <w:t xml:space="preserve">(1a) Das gleiche Recht haben sie ferner</w:t>
      </w:r>
    </w:p>
    <w:p>
      <w:pPr>
        <w:ind w:left="420"/>
      </w:pPr>
      <w:r>
        <w:t xml:space="preserve">1. in Bade- und heilklimatischen Kurorten,</w:t>
      </w:r>
    </w:p>
    <w:p>
      <w:pPr>
        <w:ind w:left="420"/>
      </w:pPr>
      <w:r>
        <w:t xml:space="preserve">2. in Luftkurorten,</w:t>
      </w:r>
    </w:p>
    <w:p>
      <w:pPr>
        <w:ind w:left="420"/>
      </w:pPr>
      <w:r>
        <w:t xml:space="preserve">3. in Erholungsorten von besonderer Bedeutung,</w:t>
      </w:r>
    </w:p>
    <w:p>
      <w:pPr>
        <w:ind w:left="420"/>
      </w:pPr>
      <w:r>
        <w:t xml:space="preserve">4. in Landschaftsgebieten und Ortsteilen, die überwiegend der Erholung dienen,</w:t>
      </w:r>
    </w:p>
    <w:p>
      <w:pPr>
        <w:ind w:left="420"/>
      </w:pPr>
      <w:r>
        <w:t xml:space="preserve">4a. hinsichtlich örtlich begrenzter Maßnahmen aus Gründen des Arten- oder Biotopschutzes,</w:t>
      </w:r>
    </w:p>
    <w:p>
      <w:pPr>
        <w:ind w:left="420"/>
      </w:pPr>
      <w:r>
        <w:t xml:space="preserve">4b. hinsichtlich örtlich und zeitlich begrenzter Maßnahmen zum Schutz kultureller Veranstaltungen, die außerhalb des Straßenraums stattfinden und durch den Straßenverkehr, insbesondere durch den von diesem ausgehenden Lärm, erheblich beeinträchtigt werden,</w:t>
      </w:r>
    </w:p>
    <w:p>
      <w:pPr>
        <w:ind w:left="420"/>
      </w:pPr>
      <w:r>
        <w:t xml:space="preserve">5. in der Nähe von Krankenhäusern und Pflegeanstalten sowie</w:t>
      </w:r>
    </w:p>
    <w:p>
      <w:pPr>
        <w:ind w:left="420"/>
      </w:pPr>
      <w:r>
        <w:t xml:space="preserve">6. in unmittelbarer Nähe von Erholungsstätten außerhalb geschlossener Ortschaften,</w:t>
      </w:r>
    </w:p>
    <w:p>
      <w:r>
        <w:t xml:space="preserve">wenn dadurch anders nicht vermeidbare Belästigungen durch den Fahrzeugverkehr verhütet werden können.</w:t>
      </w:r>
    </w:p>
    <w:p>
      <w:r>
        <w:t xml:space="preserve">(1b) Die Straßenverkehrsbehörden treffen auch die notwendigen Anordnungen</w:t>
      </w:r>
    </w:p>
    <w:p>
      <w:pPr>
        <w:ind w:left="420"/>
      </w:pPr>
      <w:r>
        <w:t xml:space="preserve">1. im Zusammenhang mit der Einrichtung von gebührenpflichtigen Parkplätzen für Großveranstaltungen,</w:t>
      </w:r>
    </w:p>
    <w:p>
      <w:pPr>
        <w:ind w:left="420"/>
      </w:pPr>
      <w:r>
        <w:t xml:space="preserve">2. im Zusammenhang mit der Kennzeichnung von Parkmöglichkeiten für schwerbehinderte Menschen mit außergewöhnlicher Gehbehinderung, beidseitiger Amelie oder Phokomelie oder mit vergleichbaren Funktionseinschränkungen sowie für blinde Menschen,</w:t>
      </w:r>
    </w:p>
    <w:p>
      <w:pPr>
        <w:ind w:left="420"/>
      </w:pPr>
      <w:r>
        <w:t xml:space="preserve">2a. im Zusammenhang mit der Kennzeichnung von Parkmöglichkeiten für Bewohner städtischer Quartiere mit einem drohenden oder bestehenden erheblichen Parkraummangel durch vollständige oder zeitlich beschränkte Reservierung des Parkraums für die Berechtigten oder durch Anordnung der Freistellung von angeordneten Parkraumbewirtschaftungsmaßnahmen,</w:t>
      </w:r>
    </w:p>
    <w:p>
      <w:pPr>
        <w:ind w:left="420"/>
      </w:pPr>
      <w:r>
        <w:t xml:space="preserve">3. zur Kennzeichnung von Fußgängerbereichen und verkehrsberuhigten Bereichen,</w:t>
      </w:r>
    </w:p>
    <w:p>
      <w:pPr>
        <w:ind w:left="420"/>
      </w:pPr>
      <w:r>
        <w:t xml:space="preserve">4. zur Erhaltung der Sicherheit oder Ordnung in diesen Bereichen sowie</w:t>
      </w:r>
    </w:p>
    <w:p>
      <w:pPr>
        <w:ind w:left="420"/>
      </w:pPr>
      <w:r>
        <w:t xml:space="preserve">5. zum Schutz der Bevölkerung vor Lärm und Abgasen oder zur Unterstützung einer geordneten städtebaulichen Entwicklung.</w:t>
      </w:r>
    </w:p>
    <w:p>
      <w:r>
        <w:t xml:space="preserve">Anordnungen nach Satz 1 Nummer 2a sind auch auf Grundlage eines städtebaulich-verkehrsplanerischen Konzepts zur Vermeidung von schädlichen Auswirkungen auf die Umwelt oder zur Unterstützung der geordneten städtebaulichen Entwicklung zulässig, sofern die Leichtigkeit des Verkehrs berücksichtigt ist und die Sicherheit des Verkehrs nicht beeinträchtigt wird. Die Straßenverkehrsbehörden ordnen die Parkmöglichkeiten für Bewohner, die Kennzeichnung von Fußgängerbereichen, verkehrsberuhigten Bereichen und Maßnahmen zum Schutze der Bevölkerung vor Lärm und Abgasen oder zur Unterstützung einer geordneten städtebaulichen Entwicklung im Einvernehmen mit der Gemeinde an.</w:t>
      </w:r>
    </w:p>
    <w:p>
      <w:r>
        <w:t xml:space="preserve">(1c) Die Straßenverkehrsbehörden ordnen ferner innerhalb geschlossener Ortschaften, insbesondere in Wohngebieten und Gebieten mit hoher Fußgänger- und Fahrradverkehrsdichte sowie hohem Querungsbedarf, Tempo 30-Zonen im Einvernehmen mit der Gemeinde an. Die Zonen-Anordnung darf sich weder auf Straßen des überörtlichen Verkehrs (Bundes-, Landes- und Kreisstraßen) noch auf weitere Vorfahrtstraßen (Zeichen 306) erstrecken. Sie darf nur Straßen ohne Lichtzeichen geregelte Kreuzungen oder Einmündungen, Fahrstreifenbegrenzungen (Zeichen 295), Leitlinien (Zeichen 340) und benutzungspflichtige Radwege (Zeichen 237, 240, 241 oder Zeichen 295 in Verbindung mit Zeichen 237) umfassen. An Kreuzungen und Einmündungen innerhalb der Zone muss grundsätzlich die Vorfahrtregel nach § 8 Absatz 1 Satz 1 („rechts vor links“) gelten. Abweichend von Satz 3 bleiben vor dem 1. November 2000 angeordnete Tempo 30-Zonen mit Lichtzeichenanlagen zum Schutz der Fußgänger zulässig.</w:t>
      </w:r>
    </w:p>
    <w:p>
      <w:r>
        <w:t xml:space="preserve">(1d) In zentralen städtischen Bereichen mit hohem Fußgängeraufkommen und überwiegender Aufenthaltsfunktion (verkehrsberuhigte Geschäftsbereiche) können auch Zonen-Geschwindigkeitsbeschränkungen von weniger als 30 km/h angeordnet werden.</w:t>
      </w:r>
    </w:p>
    <w:p>
      <w:r>
        <w:t xml:space="preserve">(1e) Die Straßenverkehrsbehörden ordnen die für den Betrieb von mautgebührenpflichtigen Strecken erforderlichen Verkehrszeichen und Verkehrseinrichtungen auf der Grundlage des vom Konzessionsnehmer vorgelegten Verkehrszeichenplans an. Die erforderlichen Anordnungen sind spätestens drei Monate nach Eingang des Verkehrszeichenplans zu treffen.</w:t>
      </w:r>
    </w:p>
    <w:p>
      <w:r>
        <w:t xml:space="preserve">(1f) Zur Kennzeichnung der in einem Luftreinhalteplan oder einem Plan für kurzfristig zu ergreifende Maßnahmen nach § 47 Absatz 1 oder 2 des Bundes-Immissionsschutzgesetzes festgesetzten Umweltzonen ordnet die Straßenverkehrsbehörde die dafür erforderlichen Verkehrsverbote mittels der Zeichen 270.1 und 270.2 in Verbindung mit dem dazu vorgesehenen Zusatzzeichen an.</w:t>
      </w:r>
    </w:p>
    <w:p>
      <w:r>
        <w:t xml:space="preserve">(1g) Zur Bevorrechtigung elektrisch betriebener Fahrzeuge ordnet die Straßenverkehrsbehörde unter Beachtung der Anforderungen des § 3 Absatz 1 des Elektromobilitätsgesetzes die dafür erforderlichen Zeichen 314, 314.1 und 315 in Verbindung mit dem dazu vorgesehenen Zusatzzeichen an.</w:t>
      </w:r>
    </w:p>
    <w:p>
      <w:r>
        <w:t xml:space="preserve">(1h) Zur Parkbevorrechtigung von Carsharingfahrzeugen ordnet die Straßenverkehrsbehörde unter Beachtung der Anforderungen der §§ 2 und 3 des Carsharinggesetzes die dafür erforderlichen Zeichen 314, 314.1 und 315 in Verbindung mit dem dazu vorgesehenen Zusatzzeichen mit dem Carsharingsinnbild nach § 39 Absatz 11 an. Soll die Parkfläche nur für ein bestimmtes Carsharingunternehmen vorgehalten werden, ist auf einem weiteren Zusatzzeichen unterhalb dieses Zusatzzeichens die Firmenbezeichnung des Carsharingunternehmens namentlich in schwarzer Schrift auf weißem Grund anzuordnen.</w:t>
      </w:r>
    </w:p>
    <w:p>
      <w:r>
        <w:t xml:space="preserve">(1i) Die Straßenverkehrsbehörden ordnen ferner innerhalb geschlossener Ortschaften, insbesondere in Gebieten mit hoher Fahrradverkehrsdichte, Fahrradzonen im Einvernehmen mit der Gemeinde an. Die Zonen-Anordnung darf sich weder auf Straßen des überörtlichen Verkehrs (Bundes-, Landes- und Kreisstraßen) noch auf weitere Vorfahrtstraßen (Zeichen 306) erstrecken. Sie darf nur Straßen ohne Lichtzeichen geregelte Kreuzungen oder Einmündungen, Fahrstreifenbegrenzungen (Zeichen 295), Leitlinien (Zeichen 340) und benutzungspflichtige Radwege (Zeichen 237, 240, 241 oder Zeichen 295 in Verbindung mit Zeichen 237) umfassen. An Kreuzungen und Einmündungen innerhalb der Zone muss grundsätzlich die Vorfahrtregel nach § 8 Absatz 1 Satz 1 („rechts vor links“) gelten. Die Anordnung einer Fahrradzone darf sich nicht mit der Anordnung einer Tempo 30-Zone überschneiden. Innerhalb der Fahrradzone ist in regelmäßigen Abständen das Zeichen 244.3 als Sinnbild auf der Fahrbahn aufzubringen.</w:t>
      </w:r>
    </w:p>
    <w:p>
      <w:r>
        <w:t xml:space="preserve">(1j) Die Gemeinde kann bei der nach Landesrecht zuständigen Behörde Anordnungen nach den Absätzen 1 bis 1i beantragen.</w:t>
      </w:r>
    </w:p>
    <w:p>
      <w:r>
        <w:t xml:space="preserve">(2) Zur Durchführung von Straßenbauarbeiten und zur Verhütung von außerordentlichen Schäden an der Straße, die durch deren baulichen Zustand bedingt sind, können die nach Landesrecht für den Straßenbau bestimmten Behörden (Straßenbaubehörde) – vorbehaltlich anderer Maßnahmen der Straßenverkehrsbehörden – Verkehrsverbote und -beschränkungen anordnen, den Verkehr umleiten und ihn durch Markierungen und Leiteinrichtungen lenken. Für Bahnübergänge von Eisenbahnen des öffentlichen Verkehrs können nur die Bahnunternehmen durch Blinklicht- oder Lichtzeichenanlagen, durch rot-weiß gestreifte Schranken oder durch Aufstellung des Andreaskreuzes ein bestimmtes Verhalten der Verkehrsteilnehmer vorschreiben. Für Bahnübergänge von Straßenbahnen auf unabhängigem Bahnkörper gilt Satz 2 mit der Maßgabe entsprechend, dass die Befugnis zur Anordnung der Maßnahmen der nach personenbeförderungsrechtlichen Vorschriften zuständigen Technischen Aufsichtsbehörde des Straßenbahnunternehmens obliegt. Alle Gebote und Verbote sind durch Zeichen und Verkehrseinrichtungen nach dieser Verordnung anzuordnen.</w:t>
      </w:r>
    </w:p>
    <w:p>
      <w:r>
        <w:t xml:space="preserve">(3) Im Übrigen bestimmen die Straßenverkehrsbehörden, wo und welche Verkehrszeichen und Verkehrseinrichtungen anzubringen und zu entfernen sind, bei Straßennamensschildern nur darüber, wo diese so anzubringen sind, wie Zeichen 437 zeigt. Die Straßenbaubehörden legen – vorbehaltlich anderer Anordnungen der Straßenverkehrsbehörden – die Art der Anbringung und der Ausgestaltung, wie Übergröße, Beleuchtung fest; ob Leitpfosten anzubringen sind, bestimmen sie allein. Sie können auch – vorbehaltlich anderer Maßnahmen der Straßenverkehrsbehörden – Gefahrzeichen anbringen, wenn die Sicherheit des Verkehrs durch den Zustand der Straße gefährdet wird.</w:t>
      </w:r>
    </w:p>
    <w:p>
      <w:r>
        <w:t xml:space="preserve">(4) Die genannten Behörden dürfen den Verkehr nur durch Verkehrszeichen und Verkehrseinrichtungen regeln und lenken; in dem Fall des Absatzes 1 Satz 2 Nummer 5 jedoch auch durch Anordnungen, die durch Rundfunk, Fernsehen, Tageszeitungen oder auf andere Weise bekannt gegeben werden, sofern die Aufstellung von Verkehrszeichen und -einrichtungen nach den gegebenen Umständen nicht möglich ist.</w:t>
      </w:r>
    </w:p>
    <w:p>
      <w:r>
        <w:t xml:space="preserve">(5) Zur Beschaffung, Anbringung, Unterhaltung und Entfernung der Verkehrszeichen und Verkehrseinrichtungen und zu deren Betrieb einschließlich ihrer Beleuchtung ist der Baulastträger verpflichtet, sonst der Eigentümer der Straße. Das gilt auch für die von der Straßenverkehrsbehörde angeordnete Beleuchtung von Fußgängerüberwegen.</w:t>
      </w:r>
    </w:p>
    <w:p>
      <w:r>
        <w:t xml:space="preserve">(6) Vor dem Beginn von Arbeiten, die sich auf den Straßenverkehr auswirken, müssen die Unternehmer – die Bauunternehmer unter Vorlage eines Verkehrszeichenplans – von der zuständigen Behörde Anordnungen nach den Absätzen 1 bis 3 darüber einholen, wie ihre Arbeitsstellen abzusperren und zu kennzeichnen sind, ob und wie der Verkehr, auch bei teilweiser Straßensperrung, zu beschränken, zu leiten und zu regeln ist, ferner ob und wie sie gesperrte Straßen und Umleitungen zu kennzeichnen haben. Sie haben diese Anordnungen zu befolgen und Lichtzeichenanlagen zu bedienen.</w:t>
      </w:r>
    </w:p>
    <w:p>
      <w:r>
        <w:t xml:space="preserve">(7) Sind Straßen als Vorfahrtstraßen oder als Verkehrsumleitungen gekennzeichnet, bedürfen Baumaßnahmen, durch welche die Fahrbahn eingeengt wird, der Zustimmung der Straßenverkehrsbehörde; ausgenommen sind die laufende Straßenunterhaltung sowie Notmaßnahmen. Die Zustimmung gilt als erteilt, wenn sich die Behörde nicht innerhalb einer Woche nach Eingang des Antrags zu der Maßnahme geäußert hat.</w:t>
      </w:r>
    </w:p>
    <w:p>
      <w:r>
        <w:t xml:space="preserve">(7a) Die Besatzung von Fahrzeugen, die im Pannenhilfsdienst, bei Bergungsarbeiten und bei der Vorbereitung von Abschleppmaßnahmen eingesetzt wird, darf bei Gefahr im Verzug zur Eigensicherung, zur Absicherung des havarierten Fahrzeugs und zur Sicherung des übrigen Verkehrs an der Pannenstelle Leitkegel (Zeichen 610) aufstellen.</w:t>
      </w:r>
    </w:p>
    <w:p>
      <w:r>
        <w:t xml:space="preserve">(8) Die Straßenverkehrsbehörden können innerhalb geschlossener Ortschaften die zulässige Höchstgeschwindigkeit auf bestimmten Straßen durch Zeichen 274 erhöhen. Außerhalb geschlossener Ortschaften können sie mit Zustimmung der zuständigen obersten Landesbehörden die nach § 3 Absatz 3 Nummer 2 Buchstabe c zulässige Höchstgeschwindigkeit durch Zeichen 274 auf 120 km/h anheben.</w:t>
      </w:r>
    </w:p>
    <w:p>
      <w:r>
        <w:t xml:space="preserve">(9) Verkehrszeichen und Verkehrseinrichtungen sind nur dort anzuordnen, wo dies auf Grund der besonderen Umstände zwingend erforderlich ist. Dabei dürfen Gefahrzeichen nur dort angeordnet werden, wo es für die Sicherheit des Verkehrs erforderlich ist, weil auch ein aufmerksamer Verkehrsteilnehmer die Gefahr nicht oder nicht rechtzeitig erkennen kann und auch nicht mit ihr rechnen muss. Insbesondere Beschränkungen und Verbote des fließenden Verkehrs dürfen nur angeordnet werden, wenn auf Grund der besonderen örtlichen Verhältnisse eine Gefahrenlage besteht, die das allgemeine Risiko einer Beeinträchtigung der in den vorstehenden Absätzen genannten Rechtsgüter erheblich übersteigt. Satz 3 gilt nicht für die Anordnung von</w:t>
      </w:r>
    </w:p>
    <w:p>
      <w:pPr>
        <w:ind w:left="420"/>
      </w:pPr>
      <w:r>
        <w:t xml:space="preserve">1. Schutzstreifen für den Radverkehr (Zeichen 340),</w:t>
      </w:r>
    </w:p>
    <w:p>
      <w:pPr>
        <w:ind w:left="420"/>
      </w:pPr>
      <w:r>
        <w:t xml:space="preserve">2. Fahrradstraßen (Zeichen 244.1),</w:t>
      </w:r>
    </w:p>
    <w:p>
      <w:pPr>
        <w:ind w:left="420"/>
      </w:pPr>
      <w:r>
        <w:t xml:space="preserve">3. Sonderwegen außerhalb geschlossener Ortschaften (Zeichen 237, Zeichen 240, Zeichen 241) oder Radfahrstreifen innerhalb geschlossener Ortschaften (Zeichen 237 in Verbindung mit Zeichen 295),</w:t>
      </w:r>
    </w:p>
    <w:p>
      <w:pPr>
        <w:ind w:left="420"/>
      </w:pPr>
      <w:r>
        <w:t xml:space="preserve">4. Tempo 30-Zonen nach Absatz 1c und kurzen streckenbezogenen Geschwindigkeitsbeschränkungen von 30 km/h (Zeichen 274) auf Streckenabschnitten von bis zu 500 Metern zwischen zwei Tempo 30-Strecken,</w:t>
      </w:r>
    </w:p>
    <w:p>
      <w:pPr>
        <w:ind w:left="420"/>
      </w:pPr>
      <w:r>
        <w:t xml:space="preserve">5. verkehrsberuhigten Geschäftsbereichen nach Absatz 1d,</w:t>
      </w:r>
    </w:p>
    <w:p>
      <w:pPr>
        <w:ind w:left="420"/>
      </w:pPr>
      <w:r>
        <w:t xml:space="preserve">6. innerörtlichen streckenbezogenen Geschwindigkeitsbeschränkungen von 30 km/h (Zeichen 274) nach Absatz 1 Satz 1 auf Straßen des überörtlichen Verkehrs (Bundes-, Landes- und Kreisstraßen) oder auf weiteren Vorfahrtstraßen (Zeichen 306) im unmittelbaren Bereich von an diesen Straßen gelegenen Fußgängerüberwegen, Kindergärten, Kindertagesstätten, Spielplätzen, hochfrequentierten Schulwegen, allgemeinbildenden Schulen, Förderschulen, Alten- und Pflegeheimen, Einrichtungen für Menschen mit Behinderungen oder Krankenhäusern,</w:t>
      </w:r>
    </w:p>
    <w:p>
      <w:pPr>
        <w:ind w:left="420"/>
      </w:pPr>
      <w:r>
        <w:t xml:space="preserve">7. Erprobungsmaßnahmen nach Absatz 1 Satz 2 Nummer 6 zweiter Halbsatz,</w:t>
      </w:r>
    </w:p>
    <w:p>
      <w:pPr>
        <w:ind w:left="420"/>
      </w:pPr>
      <w:r>
        <w:t xml:space="preserve">7a. Sonderfahrstreifen,</w:t>
      </w:r>
    </w:p>
    <w:p>
      <w:pPr>
        <w:ind w:left="420"/>
      </w:pPr>
      <w:r>
        <w:t xml:space="preserve">8. Fahrradzonen nach Absatz 1i,</w:t>
      </w:r>
    </w:p>
    <w:p>
      <w:pPr>
        <w:ind w:left="420"/>
      </w:pPr>
      <w:r>
        <w:t xml:space="preserve">9. Bussonderfahrstreifen (Zeichen 245),</w:t>
      </w:r>
    </w:p>
    <w:p>
      <w:pPr>
        <w:ind w:left="420"/>
      </w:pPr>
      <w:r>
        <w:t xml:space="preserve">10. Fußgängerüberwegen (Zeichen 293).</w:t>
      </w:r>
    </w:p>
    <w:p>
      <w:r>
        <w:t xml:space="preserve">Satz 3 gilt ferner nicht für Beschränkungen oder Verbote des fließenden Verkehrs nach Absatz 1 Satz 1 oder 2 Nummer 3 zur Beseitigung oder Abmilderung von erheblichen Auswirkungen veränderter Verkehrsverhältnisse, die durch die Erhebung der Maut nach dem Bundesfernstraßenmautgesetz hervorgerufen worden sind. Satz 3 gilt zudem nicht zur Kennzeichnung der in einem Luftreinhalteplan oder einem Plan für kurzfristig zu ergreifende Maßnahmen nach § 47 Absatz 1 oder 2 des Bundes-Immissionsschutzgesetzes festgesetzten Umweltzonen nach Absatz 1f.</w:t>
      </w:r>
    </w:p>
    <w:p>
      <w:r>
        <w:t xml:space="preserve">(10) Absatz 9 gilt nicht,</w:t>
      </w:r>
    </w:p>
    <w:p>
      <w:pPr>
        <w:ind w:left="420"/>
      </w:pPr>
      <w:r>
        <w:t xml:space="preserve">1. soweit Verkehrszeichen angeordnet werden, die zur Förderung der Elektromobilität nach dem Elektromobilitätsgesetz oder zur Förderung des Carsharing nach dem Carsharinggesetz getroffen werden dürfen, und</w:t>
      </w:r>
    </w:p>
    <w:p>
      <w:pPr>
        <w:ind w:left="420"/>
      </w:pPr>
      <w:r>
        <w:t xml:space="preserve">2. für Anordnungen nach Absatz 1 Satz 2 Nummer 7.</w:t>
      </w:r>
    </w:p>
    <w:p>
      <w:r>
        <w:t xml:space="preserve">(11) Absatz 1 Satz 1 und 2 Nummer 1 bis 3, 5 und 6, Absatz 1a, 1f, 2 Satz 1 und 4, Absatz 3, 4, 5 Satz 2 in Verbindung mit Satz 1, Absatz 7 sowie Absatz 9 Satz 1 bis 3, 4 Nummer 7 und Satz 6 gelten entsprechend für mit den Zeichen 330.1 und 330.2 gekennzeichnete Autobahnen in der Baulast des Bundes für das Fernstraßen-Bundesamt. Absatz 2 Satz 1 und 4 sowie Absatz 3, 4 und 7 gelten entsprechend für Bundesstraßen in Bundesverwaltung für das Fernstraßen-Bundesamt.</w:t>
      </w:r>
    </w:p>
    <w:p>
      <w:r>
        <w:rPr>
          <w:color w:val="555555"/>
          <w:sz w:val="17"/>
        </w:rPr>
        <w:t xml:space="preserve">Zitiervorschlag: § 45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