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44a StVO 2013 — Besondere sachliche Zuständigkeit des Fernstraßen-Bundesamtes</w:t>
      </w:r>
    </w:p>
    <w:p>
      <w:r>
        <w:rPr>
          <w:color w:val="555555"/>
          <w:sz w:val="18"/>
        </w:rPr>
        <w:t xml:space="preserve">Straßenverkehrs-Ordnung</w:t>
      </w:r>
    </w:p>
    <w:p>
      <w:r>
        <w:rPr>
          <w:color w:val="555555"/>
          <w:sz w:val="18"/>
        </w:rPr>
        <w:t xml:space="preserve">Stand: 24.12.2020 (konsolidierte Textfassung, kein amtliches Inkrafttretensdatum)</w:t>
      </w:r>
    </w:p>
    <w:p>
      <w:r>
        <w:t xml:space="preserve">(1) Zuständig für den Erlass von verkehrsrechtlichen Anordnungen nach dieser Verordnung für die mit Zeichen 330.1 und 330.2 gekennzeichneten Autobahnen in der Baulast des Bundes ist das Fernstraßen-Bundesamt. Die Zuständigkeit der Polizei bleibt unberührt. Abweichend von § 44 Absatz 3 erteilt das Fernstraßen-Bundesamt die Erlaubnis nach § 29 Absatz 2, wenn die Veranstaltung ausschließlich auf den mit Zeichen 330.1 und 330.2 gekennzeichneten Autobahnen in der Baulast des Bundes stattfindet. § 46 Absatz 2a bleibt unberührt. Das Fernstraßen-Bundesamt ist Straßenverkehrsbehörde ausschließlich im Rahmen seiner Zuständigkeit nach dieser Verordnung.</w:t>
      </w:r>
    </w:p>
    <w:p>
      <w:r>
        <w:t xml:space="preserve">(2) Soweit mit den Zeichen 330.1 und 330.2 gekennzeichnete Autobahnen in der Baulast des Bundes betroffen sind, werden abweichend von § 44 Absatz 4 die dort genannten Vereinbarungen mit dem Fernstraßen-Bundesamt abgeschlossen.</w:t>
      </w:r>
    </w:p>
    <w:p>
      <w:r>
        <w:t xml:space="preserve">(3) Das Fernstraßen-Bundesamt kann nach § 4 Absatz 2 des Fernstraßen-Bundesamt-Errichtungsgesetzes seine Aufgaben der aufgrund des Infrastrukturgesellschaftserrichtungsgesetzes beliehenen Gesellschaft privaten Rechts ganz oder teilweise übertragen. Soweit das Fernstraßen-Bundesamt von dieser Möglichkeit Gebrauch macht, gelten die Regelungen dieser Verordnung in Bezug auf das Fernstraßen-Bundesamt für die aufgrund des Infrastrukturgesellschaftserrichtungsgesetzes beliehene Gesellschaft privaten Rechts in dem Umfang der erfolgten Aufgabenübertragung. Die Aufgabenübertragung ist im Bundesanzeiger bekannt zu geben.</w:t>
      </w:r>
    </w:p>
    <w:p>
      <w:r>
        <w:rPr>
          <w:color w:val="555555"/>
          <w:sz w:val="17"/>
        </w:rPr>
        <w:t xml:space="preserve">Zitiervorschlag: § 44a StVO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https://recht.nulegal.eu/gesetze/StVO%202013/44a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