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StVO 2013 — Verkehrseinrichtungen</w:t>
      </w:r>
    </w:p>
    <w:p>
      <w:r>
        <w:rPr>
          <w:color w:val="555555"/>
          <w:sz w:val="18"/>
        </w:rPr>
        <w:t xml:space="preserve">Straßenverkehrs-Ordnung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Verkehrseinrichtungen sind Schranken, Sperrpfosten, Absperrgeräte sowie Leiteinrichtungen, die bis auf Leitpfosten, Leitschwellen und Leitborde rot-weiß gestreift sind. Leitschwellen und Leitborde haben die Funktion einer vorübergehend gültigen Markierung und sind gelb. Verkehrseinrichtungen sind außerdem Absperrgeländer, Parkuhren, Parkscheinautomaten, Blinklicht- und Lichtzeichenanlagen sowie Verkehrsbeeinflussungsanlagen. § 39 Absatz 1 gilt entsprechend.</w:t>
      </w:r>
    </w:p>
    <w:p>
      <w:r>
        <w:t xml:space="preserve">(2) Regelungen durch Verkehrseinrichtungen gehen den allgemeinen Verkehrsregeln vor.</w:t>
      </w:r>
    </w:p>
    <w:p>
      <w:r>
        <w:t xml:space="preserve">(3) Verkehrseinrichtungen nach Absatz 1 Satz 1 ergeben sich aus Anlage 4. Die durch Verkehrseinrichtungen (Anlage 4 Nummer 1 bis 7) gekennzeichneten Straßenflächen darf der Verkehrsteilnehmer nicht befahren.</w:t>
      </w:r>
    </w:p>
    <w:p>
      <w:r>
        <w:t xml:space="preserve">(4) Zur Kennzeichnung nach § 17 Absatz 4 Satz 2 und 3 von Fahrzeugen und Anhängern, die innerhalb geschlossener Ortschaften auf der Fahrbahn halten, können amtlich geprüfte Park-Warntafeln verwendet werden.</w:t>
      </w:r>
    </w:p>
    <w:p>
      <w:r>
        <w:rPr>
          <w:color w:val="555555"/>
          <w:sz w:val="17"/>
        </w:rPr>
        <w:t xml:space="preserve">Zitiervorschlag: § 43 StVO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https://recht.nulegal.eu/gesetze/StVO%202013/43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