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StVO 2013 — Gefahrzeichen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Gefahrzeichen mahnen zu erhöhter Aufmerksamkeit, insbesondere zur Verringerung der Geschwindigkeit im Hinblick auf eine Gefahrsituation (§ 3 Absatz 1).</w:t>
      </w:r>
    </w:p>
    <w:p>
      <w:r>
        <w:t xml:space="preserve">(2) Außerhalb geschlossener Ortschaften stehen sie im Allgemeinen 150 bis 250 m vor den Gefahrstellen. Ist die Entfernung erheblich geringer, kann sie auf einem Zusatzzeichen angegeben sein, wie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t xml:space="preserve">(3) Innerhalb geschlossener Ortschaften stehen sie im Allgemeinen kurz vor der Gefahrstelle.</w:t>
      </w:r>
    </w:p>
    <w:p>
      <w:r>
        <w:t xml:space="preserve">(4) Ein Zusatzzeichen wie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t xml:space="preserve">kann die Länge der Gefahrstrecke angeben.</w:t>
      </w:r>
    </w:p>
    <w:p>
      <w:r>
        <w:t xml:space="preserve">(5) Steht ein Gefahrzeichen vor einer Einmündung, weist auf einem Zusatzzeichen ein schwarzer Pfeil in die Richtung der Gefahrstelle, falls diese in der anderen Straße liegt.</w:t>
      </w:r>
    </w:p>
    <w:p>
      <w:r>
        <w:t xml:space="preserve">(6) Allgemeine Gefahrzeichen ergeben sich aus der Anlage 1 Abschnitt 1.</w:t>
      </w:r>
    </w:p>
    <w:p>
      <w:r>
        <w:t xml:space="preserve">(7) Besondere Gefahrzeichen vor Übergängen von Schienenbahnen mit Vorrang ergeben sich aus der Anlage 1 Abschnitt 2.</w:t>
      </w:r>
    </w:p>
    <w:p>
      <w:r>
        <w:rPr>
          <w:color w:val="555555"/>
          <w:sz w:val="17"/>
        </w:rPr>
        <w:t xml:space="preserve">Zitiervorschlag: § 40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