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StVO 2013 — Sport und Spiel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Sport und Spiel auf der Fahrbahn, den Seitenstreifen und auf Radwegen sind nicht erlaubt. Satz 1 gilt nicht, soweit dies durch ein die zugelassene Sportart oder Spielart kennzeichnendes Zusatzzeichen angezeigt ist.</w:t>
      </w:r>
    </w:p>
    <w:p>
      <w:r>
        <w:t xml:space="preserve">(2) Durch das Zusatzzeichen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t xml:space="preserve">wird das Inline-Skaten und Rollschuhfahren zugelassen. Das Zusatzzeichen kann auch allein angeordnet sein. Wer sich dort mit Inline-Skates oder Rollschuhen fortbewegt, hat sich mit äußerster Vorsicht und unter besonderer Rücksichtnahme auf den übrigen Verkehr am rechten Rand in Fahrtrichtung zu bewegen und Fahrzeugen das Überholen zu ermöglichen.</w:t>
      </w:r>
    </w:p>
    <w:p>
      <w:r>
        <w:rPr>
          <w:color w:val="555555"/>
          <w:sz w:val="17"/>
        </w:rPr>
        <w:t xml:space="preserve">Zitiervorschlag: § 31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