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StVO 2013 — Umweltschutz, Sonn- und Feiertagsfahrverbot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11.10.2024 (konsolidierte Textfassung, kein amtliches Inkrafttretensdatum)</w:t>
      </w:r>
    </w:p>
    <w:p>
      <w:r>
        <w:t xml:space="preserve">(1) Bei der Benutzung von Fahrzeugen sind unnötiger Lärm und vermeidbare Abgasbelästigungen verboten. Es ist insbesondere verboten, Fahrzeugmotoren unnötig laufen zu lassen und Fahrzeugtüren übermäßig laut zu schließen. Unnützes Hin- und Herfahren ist innerhalb geschlossener Ortschaften verboten, wenn Andere dadurch belästigt werden.</w:t>
      </w:r>
    </w:p>
    <w:p>
      <w:r>
        <w:t xml:space="preserve">(2) Veranstaltungen mit Kraftfahrzeugen bedürfen der Erlaubnis, wenn sie die Nachtruhe stören können.</w:t>
      </w:r>
    </w:p>
    <w:p>
      <w:r>
        <w:t xml:space="preserve">(3) An Sonntagen und Feiertagen dürfen in der Zeit von 0.00 bis 22.00 Uhr zur geschäftsmäßigen oder entgeltlichen Beförderung von Gütern einschließlich damit verbundener Leerfahrten Lastkraftwagen mit einer zulässigen Gesamtmasse über 7,5 t sowie Anhänger hinter Lastkraftwagen nicht geführt werden. Das Verbot gilt nicht für</w:t>
      </w:r>
    </w:p>
    <w:p>
      <w:pPr>
        <w:ind w:left="420"/>
      </w:pPr>
      <w:r>
        <w:t xml:space="preserve">1. kombinierten Güterverkehr Schiene-Straße vom Versender bis zum nächstgelegenen geeigneten Verladebahnhof oder vom nächstgelegenen geeigneten Entladebahnhof bis zum Empfänger, jedoch nur bis zu einer Entfernung von 200 km,</w:t>
      </w:r>
    </w:p>
    <w:p>
      <w:pPr>
        <w:ind w:left="420"/>
      </w:pPr>
      <w:r>
        <w:t xml:space="preserve">1a. kombinierten Güterverkehr Hafen-Straße zwischen Belade- oder Entladestelle und einem innerhalb eines Umkreises von höchstens 150 Kilometern gelegenen Hafen (An- oder Abfuhr),</w:t>
      </w:r>
    </w:p>
    <w:p>
      <w:pPr>
        <w:ind w:left="420"/>
      </w:pPr>
      <w:r>
        <w:t xml:space="preserve">2. die Beförderung von</w:t>
      </w:r>
    </w:p>
    <w:p>
      <w:pPr>
        <w:ind w:left="780"/>
      </w:pPr>
      <w:r>
        <w:t xml:space="preserve">a) frischer Milch und frischen Milcherzeugnissen,</w:t>
      </w:r>
    </w:p>
    <w:p>
      <w:pPr>
        <w:ind w:left="780"/>
      </w:pPr>
      <w:r>
        <w:t xml:space="preserve">b) frischem Fleisch und frischen Fleischerzeugnissen,</w:t>
      </w:r>
    </w:p>
    <w:p>
      <w:pPr>
        <w:ind w:left="780"/>
      </w:pPr>
      <w:r>
        <w:t xml:space="preserve">c) frischen Fischen, lebenden Fischen und frischen Fischerzeugnissen,</w:t>
      </w:r>
    </w:p>
    <w:p>
      <w:pPr>
        <w:ind w:left="780"/>
      </w:pPr>
      <w:r>
        <w:t xml:space="preserve">d) leicht verderblichem Obst und Gemüse,</w:t>
      </w:r>
    </w:p>
    <w:p>
      <w:pPr>
        <w:ind w:left="420"/>
      </w:pPr>
      <w:r>
        <w:t xml:space="preserve">3. die Beförderung von Material der Kategorie 1 nach Artikel 8 und Material der Kategorie 2 nach Artikel 9 Buchstabe f Ziffer i der Verordnung (EG) Nr. 1069/2009 des Europäischen Parlaments und des Rates vom 21. Oktober 2009 mit Hygienevorschriften für nicht für den menschlichen Verzehr bestimmte tierische Nebenprodukte und zur Aufhebung der Verordnung (EG) Nr. 1774/2002 (Verordnung über tierische Nebenprodukte) (ABl. L 300 vom 14.11.2009, S. 1; L 348 vom 4.12.2014, S. 31),</w:t>
      </w:r>
    </w:p>
    <w:p>
      <w:pPr>
        <w:ind w:left="420"/>
      </w:pPr>
      <w:r>
        <w:t xml:space="preserve">4. den Einsatz von Bergungs-, Abschlepp- und Pannenhilfsfahrzeugen im Falle eines Unfalles oder eines sonstigen Notfalles,</w:t>
      </w:r>
    </w:p>
    <w:p>
      <w:pPr>
        <w:ind w:left="420"/>
      </w:pPr>
      <w:r>
        <w:t xml:space="preserve">5. den Transport von lebenden Bienen,</w:t>
      </w:r>
    </w:p>
    <w:p>
      <w:pPr>
        <w:ind w:left="420"/>
      </w:pPr>
      <w:r>
        <w:t xml:space="preserve">6. Leerfahrten, die im Zusammenhang mit Fahrten nach den Nummern 2 bis 5 stehen,</w:t>
      </w:r>
    </w:p>
    <w:p>
      <w:pPr>
        <w:ind w:left="420"/>
      </w:pPr>
      <w:r>
        <w:t xml:space="preserve">7. Fahrten mit Fahrzeugen, die nach dem Bundesleistungsgesetz herangezogen werden, wobei der Leistungsbescheid mitzuführen und auf Verlangen zuständigen Personen zur Prüfung auszuhändigen ist,</w:t>
      </w:r>
    </w:p>
    <w:p>
      <w:pPr>
        <w:ind w:left="420"/>
      </w:pPr>
      <w:r>
        <w:t xml:space="preserve">8. die Bundeswehr sowie die von ihr beauftragten gewerblichen Transportdienstunternehmen im Falle militärischer Erfordernisse,</w:t>
      </w:r>
    </w:p>
    <w:p>
      <w:pPr>
        <w:ind w:left="420"/>
      </w:pPr>
      <w:r>
        <w:t xml:space="preserve">9. die Truppen der Vertragsstaaten des Nordatlantikvertrages, der Mitgliedstaaten der Europäischen Union und weiterer verbündeter Streitkräfte sowie die von den jeweiligen Truppen beauftragten gewerblichen Transportdienstunternehmen im Falle militärischer Erfordernisse.</w:t>
      </w:r>
    </w:p>
    <w:p>
      <w:r>
        <w:t xml:space="preserve">(4) Feiertage im Sinne des Absatzes 3 sind Neujahr; Karfreitag; Ostermontag; Tag der Arbeit (1. Mai); Christi Himmelfahrt; Pfingstmontag; Fronleichnam, jedoch nur in Baden-Württemberg, Bayern, Hessen, Nordrhein-Westfalen, Rheinland-Pfalz und im Saarland; Tag der deutschen Einheit (3. Oktober); Reformationstag (31. Oktober) in Brandenburg, Bremen, Hamburg, Mecklenburg-Vorpommern, Niedersachsen, Sachsen, Sachsen-Anhalt, Schleswig-Holstein und Thüringen; Allerheiligen (1. November), jedoch nur in Baden-Württemberg, Bayern, Nordrhein-Westfalen, Rheinland-Pfalz und im Saarland; 1. und 2. Weihnachtstag.</w:t>
      </w:r>
    </w:p>
    <w:p>
      <w:r>
        <w:rPr>
          <w:color w:val="555555"/>
          <w:sz w:val="17"/>
        </w:rPr>
        <w:t xml:space="preserve">Zitiervorschlag: § 30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