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StVO 2013 — Besondere Fortbewegungsmittel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Schiebe- und Greifreifenrollstühle, Rodelschlitten, Kinderwagen, Roller, Kinderfahrräder, Inline-Skates, Rollschuhe und ähnliche nicht motorbetriebene Fortbewegungsmittel sind nicht Fahrzeuge im Sinne der Verordnung. Für den Verkehr mit diesen Fortbewegungsmitteln gelten die Vorschriften für den Fußgängerverkehr entsprechend.</w:t>
      </w:r>
    </w:p>
    <w:p>
      <w:r>
        <w:t xml:space="preserve">(2) Mit Krankenfahrstühlen oder mit anderen als in Absatz 1 genannten Rollstühlen darf dort, wo Fußgängerverkehr zulässig ist, gefahren werden, jedoch nur mit Schrittgeschwindigkeit.</w:t>
      </w:r>
    </w:p>
    <w:p>
      <w:r>
        <w:rPr>
          <w:color w:val="555555"/>
          <w:sz w:val="17"/>
        </w:rPr>
        <w:t xml:space="preserve">Zitiervorschlag: § 24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