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21a StVO 2013 — Sicherheitsgurte, Rollstuhl-Rückhaltesysteme, Rollstuhlnutzer-Rückhaltesysteme, Schutzhelme</w:t>
      </w:r>
    </w:p>
    <w:p>
      <w:r>
        <w:rPr>
          <w:color w:val="555555"/>
          <w:sz w:val="18"/>
        </w:rPr>
        <w:t xml:space="preserve">Straßenverkehrs-Ordnung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Vorgeschriebene Sicherheitsgurte müssen während der Fahrt angelegt sein; dies gilt ebenfalls für vorgeschriebene Rollstuhl-Rückhaltesysteme und vorgeschriebene Rollstuhlnutzer-Rückhaltesysteme. Das gilt nicht für</w:t>
      </w:r>
    </w:p>
    <w:p>
      <w:pPr>
        <w:ind w:left="420"/>
      </w:pPr>
      <w:r>
        <w:t xml:space="preserve">1. (weggefallen)</w:t>
      </w:r>
    </w:p>
    <w:p>
      <w:pPr>
        <w:ind w:left="420"/>
      </w:pPr>
      <w:r>
        <w:t xml:space="preserve">2. Personen beim Haus-zu-Haus-Verkehr, wenn sie im jeweiligen Leistungs- oder Auslieferungsbezirk regelmäßig in kurzen Zeitabständen ihr Fahrzeug verlassen müssen,</w:t>
      </w:r>
    </w:p>
    <w:p>
      <w:pPr>
        <w:ind w:left="420"/>
      </w:pPr>
      <w:r>
        <w:t xml:space="preserve">3. Fahrten mit Schrittgeschwindigkeit wie Rückwärtsfahren, Fahrten auf Parkplätzen,</w:t>
      </w:r>
    </w:p>
    <w:p>
      <w:pPr>
        <w:ind w:left="420"/>
      </w:pPr>
      <w:r>
        <w:t xml:space="preserve">4. Fahrten in Kraftomnibussen, bei denen die Beförderung stehender Fahrgäste zugelassen ist,</w:t>
      </w:r>
    </w:p>
    <w:p>
      <w:pPr>
        <w:ind w:left="420"/>
      </w:pPr>
      <w:r>
        <w:t xml:space="preserve">5. das Betriebspersonal in Kraftomnibussen und das Begleitpersonal von besonders betreuungsbedürftigen Personengruppen während der Dienstleistungen, die ein Verlassen des Sitzplatzes erfordern,</w:t>
      </w:r>
    </w:p>
    <w:p>
      <w:pPr>
        <w:ind w:left="420"/>
      </w:pPr>
      <w:r>
        <w:t xml:space="preserve">6. Fahrgäste in Kraftomnibussen mit einer zulässigen Gesamtmasse von mehr als 3,5 t beim kurzzeitigen Verlassen des Sitzplatzes.</w:t>
      </w:r>
    </w:p>
    <w:p>
      <w:r>
        <w:t xml:space="preserve">(2) Wer Krafträder oder offene drei- oder mehrrädrige Kraftfahrzeuge mit einer bauartbedingten Höchstgeschwindigkeit von über 20 km/h führt sowie auf oder in ihnen mitfährt, muss während der Fahrt einen geeigneten Schutzhelm tragen. Dies gilt nicht, wenn vorgeschriebene Sicherheitsgurte angelegt sind.</w:t>
      </w:r>
    </w:p>
    <w:p>
      <w:r>
        <w:rPr>
          <w:color w:val="555555"/>
          <w:sz w:val="17"/>
        </w:rPr>
        <w:t xml:space="preserve">Zitiervorschlag: § 21a StVO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https://recht.nulegal.eu/gesetze/StVO%202013/21a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