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StVO 2013 — Autobahnen und Kraftfahrstraßen</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Autobahnen (Zeichen 330.1) und Kraftfahrstraßen (Zeichen 331.1) dürfen nur mit Kraftfahrzeugen benutzt werden, deren durch die Bauart bestimmte Höchstgeschwindigkeit mehr als 60 km/h beträgt; werden Anhänger mitgeführt, gilt das Gleiche auch für diese. Fahrzeug und Ladung dürfen zusammen nicht höher als 4 m und nicht breiter als 2,55 m sein. Kühlfahrzeuge dürfen nicht breiter als 2,60 m sein.</w:t>
      </w:r>
    </w:p>
    <w:p>
      <w:r>
        <w:t xml:space="preserve">(2) Auf Autobahnen darf nur an gekennzeichneten Anschlussstellen (Zeichen 330.1) eingefahren werden, auf Kraftfahrstraßen nur an Kreuzungen oder Einmündungen.</w:t>
      </w:r>
    </w:p>
    <w:p>
      <w:r>
        <w:t xml:space="preserve">(3) Der Verkehr auf der durchgehenden Fahrbahn hat die Vorfahrt.</w:t>
      </w:r>
    </w:p>
    <w:p>
      <w:r>
        <w:t xml:space="preserve">(4) (weggefallen)</w:t>
      </w:r>
    </w:p>
    <w:p>
      <w:r>
        <w:t xml:space="preserve">(5) Auf Autobahnen darf innerhalb geschlossener Ortschaften schneller als 50 km/h gefahren werden. Auf ihnen sowie außerhalb geschlossener Ortschaften auf Kraftfahrstraßen mit Fahrbahnen für eine Richtung, die durch Mittelstreifen oder sonstige bauliche Einrichtungen getrennt sind, beträgt die zulässige Höchstgeschwindigkeit auch unter günstigsten Umständen</w:t>
      </w:r>
    </w:p>
    <w:p>
      <w:pPr>
        <w:ind w:left="420"/>
      </w:pPr>
      <w:r>
        <w:t xml:space="preserve">1. für</w:t>
      </w:r>
    </w:p>
    <w:p>
      <w:pPr>
        <w:ind w:left="780"/>
      </w:pPr>
      <w:r>
        <w:t xml:space="preserve">a) Kraftfahrzeuge mit einer zulässigen Gesamtmasse von mehr als 3,5 t, ausgenommen Personenkraftwagen,</w:t>
      </w:r>
    </w:p>
    <w:p>
      <w:pPr>
        <w:ind w:left="780"/>
      </w:pPr>
      <w:r>
        <w:t xml:space="preserve">b) Personenkraftwagen mit Anhänger, Lastkraftwagen mit Anhänger, Wohnmobile mit Anhänger und Zugmaschinen mit Anhänger sowie</w:t>
      </w:r>
    </w:p>
    <w:p>
      <w:pPr>
        <w:ind w:left="780"/>
      </w:pPr>
      <w:r>
        <w:t xml:space="preserve">c) Kraftomnibusse ohne Anhänger oder mit Gepäckanhänger</w:t>
      </w:r>
    </w:p>
    <w:p>
      <w:pPr>
        <w:ind w:left="420"/>
      </w:pPr>
      <w:r>
        <w:t xml:space="preserve">80 km/h,</w:t>
      </w:r>
    </w:p>
    <w:p>
      <w:pPr>
        <w:ind w:left="420"/>
      </w:pPr>
      <w:r>
        <w:t xml:space="preserve">2. für</w:t>
      </w:r>
    </w:p>
    <w:p>
      <w:pPr>
        <w:ind w:left="780"/>
      </w:pPr>
      <w:r>
        <w:t xml:space="preserve">a) Krafträder mit Anhänger und selbstfahrende Arbeitsmaschinen mit Anhänger,</w:t>
      </w:r>
    </w:p>
    <w:p>
      <w:pPr>
        <w:ind w:left="780"/>
      </w:pPr>
      <w:r>
        <w:t xml:space="preserve">b) Zugmaschinen mit zwei Anhängern sowie</w:t>
      </w:r>
    </w:p>
    <w:p>
      <w:pPr>
        <w:ind w:left="780"/>
      </w:pPr>
      <w:r>
        <w:t xml:space="preserve">c) Kraftomnibusse mit Anhänger oder mit Fahrgästen, für die keine Sitzplätze mehr zur Verfügung stehen,</w:t>
      </w:r>
    </w:p>
    <w:p>
      <w:pPr>
        <w:ind w:left="420"/>
      </w:pPr>
      <w:r>
        <w:t xml:space="preserve">60 km/h,</w:t>
      </w:r>
    </w:p>
    <w:p>
      <w:pPr>
        <w:ind w:left="420"/>
      </w:pPr>
      <w:r>
        <w:t xml:space="preserve">3. für Kraftomnibusse ohne Anhänger, die</w:t>
      </w:r>
    </w:p>
    <w:p>
      <w:pPr>
        <w:ind w:left="780"/>
      </w:pPr>
      <w:r>
        <w:t xml:space="preserve">a) nach Eintragung in der Zulassungsbescheinigung Teil I für eine Höchstgeschwindigkeit von 100 km/h zugelassen sind,</w:t>
      </w:r>
    </w:p>
    <w:p>
      <w:pPr>
        <w:ind w:left="780"/>
      </w:pPr>
      <w:r>
        <w:t xml:space="preserve">b) hauptsächlich für die Beförderung von sitzenden Fahrgästen gebaut und die Fahrgastsitze als Reisebestuhlung ausgeführt sind,</w:t>
      </w:r>
    </w:p>
    <w:p>
      <w:pPr>
        <w:ind w:left="780"/>
      </w:pPr>
      <w:r>
        <w:t xml:space="preserve">c) auf allen Sitzen sowie auf Rollstuhlplätzen, wenn auf ihnen Rollstuhlfahrer befördert werden, mit Sicherheitsgurten ausgerüstet sind,</w:t>
      </w:r>
    </w:p>
    <w:p>
      <w:pPr>
        <w:ind w:left="780"/>
      </w:pPr>
      <w:r>
        <w:t xml:space="preserve">d) mit einem Geschwindigkeitsbegrenzer ausgerüstet sind, der auf eine Höchstgeschwindigkeit von maximal 100 km/h (Vset) eingestellt ist,</w:t>
      </w:r>
    </w:p>
    <w:p>
      <w:pPr>
        <w:ind w:left="780"/>
      </w:pPr>
      <w:r>
        <w:t xml:space="preserve">e) den Vorschriften der Richtlinie 2001/85/EG des Europäischen Parlaments und des Rates vom 20. November 2001 über besondere Vorschriften für Fahrzeuge zur Personenbeförderung mit mehr als acht Sitzplätzen außer dem Fahrersitz und zur Änderung der Richtlinien 70/156/EWG und 97/27/EG (ABl. L 42 vom 13.2.2002, S. 1) in der jeweils zum Zeitpunkt der Erstzulassung des jeweiligen Kraftomnibusses geltenden Fassung entsprechen und</w:t>
      </w:r>
    </w:p>
    <w:p>
      <w:pPr>
        <w:ind w:left="780"/>
      </w:pPr>
      <w:r>
        <w:t xml:space="preserve">f) auf der vorderen Lenkachse nicht mit nachgeschnittenen Reifen ausgerüstet sind, oder</w:t>
      </w:r>
    </w:p>
    <w:p>
      <w:pPr>
        <w:ind w:left="780"/>
      </w:pPr>
      <w:r>
        <w:t xml:space="preserve">g) für nicht in Mitgliedstaaten der Europäischen Union oder in Vertragsstaaten des Abkommens über den Europäischen Wirtschaftsraum zugelassene Kraftomnibusse, wenn jeweils eine behördliche Bestätigung des Zulassungsstaates in deutscher Sprache über die Übereinstimmung mit den vorgenannten Bestimmungen und über jährlich stattgefundene Untersuchungen mindestens im Umfang der Richtlinie 96/96/EG des Rates vom 20. Dezember 1996 zur Angleichung der Rechtsvorschriften der Mitgliedstaaten über die technische Überwachung der Kraftfahrzeuge und Kraftfahrzeuganhänger (ABl. L 46 vom 17.2.1997, S. 1) in der jeweils geltenden Fassung vorgelegt werden kann,</w:t>
      </w:r>
    </w:p>
    <w:p>
      <w:pPr>
        <w:ind w:left="420"/>
      </w:pPr>
      <w:r>
        <w:t xml:space="preserve">100 km/h.</w:t>
      </w:r>
    </w:p>
    <w:p>
      <w:r>
        <w:t xml:space="preserve">(6) Wer auf der Autobahn mit Abblendlicht fährt, braucht seine Geschwindigkeit nicht der Reichweite des Abblendlichts anzupassen, wenn</w:t>
      </w:r>
    </w:p>
    <w:p>
      <w:pPr>
        <w:ind w:left="420"/>
      </w:pPr>
      <w:r>
        <w:t xml:space="preserve">1. die Schlussleuchten des vorausfahrenden Kraftfahrzeugs klar erkennbar sind und ein ausreichender Abstand von ihm eingehalten wird oder</w:t>
      </w:r>
    </w:p>
    <w:p>
      <w:pPr>
        <w:ind w:left="420"/>
      </w:pPr>
      <w:r>
        <w:t xml:space="preserve">2. der Verlauf der Fahrbahn durch Leiteinrichtungen mit Rückstrahlern und, zusammen mit fremdem Licht, Hindernisse rechtzeitig erkennbar sind.</w:t>
      </w:r>
    </w:p>
    <w:p>
      <w:r>
        <w:t xml:space="preserve">(7) Wenden und Rückwärtsfahren sind verboten.</w:t>
      </w:r>
    </w:p>
    <w:p>
      <w:r>
        <w:t xml:space="preserve">(8) Halten, auch auf Seitenstreifen, ist verboten.</w:t>
      </w:r>
    </w:p>
    <w:p>
      <w:r>
        <w:t xml:space="preserve">(9) Zu Fuß Gehende dürfen Autobahnen nicht betreten. Kraftfahrstraßen dürfen sie nur an Kreuzungen, Einmündungen oder sonstigen dafür vorgesehenen Stellen überschreiten; sonst ist jedes Betreten verboten.</w:t>
      </w:r>
    </w:p>
    <w:p>
      <w:r>
        <w:t xml:space="preserve">(10) Die Ausfahrt von Autobahnen ist nur an Stellen erlaubt, die durch die Ausfahrttafel (Zeichen 332) und durch das Pfeilzeichen (Zeichen 333) oder durch eins dieser Zeichen gekennzeichnet sind. Die Ausfahrt von Kraftfahrstraßen ist nur an Kreuzungen oder Einmündungen erlaubt.</w:t>
      </w:r>
    </w:p>
    <w:p>
      <w:r>
        <w:t xml:space="preserve">(11) Lastkraftwagen mit einer zulässigen Gesamtmasse über 7,5 t, einschließlich ihrer Anhänger, sowie Zugmaschinen dürfen, wenn die Sichtweite durch erheblichen Schneefall oder Regen auf 50 m oder weniger eingeschränkt ist, sowie bei Schneeglätte oder Glatteis den äußerst linken Fahrstreifen nicht benutzen.</w:t>
      </w:r>
    </w:p>
    <w:p>
      <w:r>
        <w:rPr>
          <w:color w:val="555555"/>
          <w:sz w:val="17"/>
        </w:rPr>
        <w:t xml:space="preserve">Zitiervorschlag: § 18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