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StVO 2013 — Grundregeln</w:t>
      </w:r>
    </w:p>
    <w:p>
      <w:r>
        <w:rPr>
          <w:color w:val="555555"/>
          <w:sz w:val="18"/>
        </w:rPr>
        <w:t xml:space="preserve">Straßenverkehrs-Ordnung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Teilnahme am Straßenverkehr erfordert ständige Vorsicht und gegenseitige Rücksicht.</w:t>
      </w:r>
    </w:p>
    <w:p>
      <w:r>
        <w:t xml:space="preserve">(2) Wer am Verkehr teilnimmt hat sich so zu verhalten, dass kein Anderer geschädigt, gefährdet oder mehr, als nach den Umständen unvermeidbar, behindert oder belästigt wird.</w:t>
      </w:r>
    </w:p>
    <w:p>
      <w:r>
        <w:rPr>
          <w:color w:val="555555"/>
          <w:sz w:val="17"/>
        </w:rPr>
        <w:t xml:space="preserve">Zitiervorschlag: § 1 StVO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https://recht.nulegal.eu/gesetze/StVO%202013/1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