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StVLBestAufs (Bayern)</w:t>
      </w:r>
    </w:p>
    <w:p>
      <w:r>
        <w:rPr>
          <w:color w:val="555555"/>
          <w:sz w:val="18"/>
        </w:rPr>
        <w:t xml:space="preserve">Staatsvertrag über die Bestimmung aufsichtsführender Länder nach Artikel 87 Abs. 2 Satz 2 des Grundgesetzes für die Bundesrepublik Deutschland</w:t>
      </w:r>
    </w:p>
    <w:p>
      <w:r>
        <w:rPr>
          <w:color w:val="555555"/>
          <w:sz w:val="18"/>
        </w:rPr>
        <w:t xml:space="preserve">Landesrecht Bayern</w:t>
      </w:r>
    </w:p>
    <w:p>
      <w:r>
        <w:rPr>
          <w:color w:val="555555"/>
          <w:sz w:val="18"/>
        </w:rPr>
        <w:t xml:space="preserve">Stand: 27.08.2026 (konsolidierte Textfassung, kein amtliches Inkrafttretensdatum)</w:t>
      </w:r>
    </w:p>
    <w:p>
      <w:r>
        <w:t xml:space="preserve">Dieser Staatsvertrag tritt am ersten Tag des Kalendermonats in Kraft, der auf den Kalendermonat folgt, in dem die letzte Ratifikationsurkunde bei der Staatskanzlei des Vorsitzenden der Ministerpräsidentenkonferenz hinterlegt ist. Die Staatskanzlei des Vorsitzenden der Ministerpräsidentenkonferenz teilt den Ländern die Hinterlegung der Ratifikationsurkunden mit; dies gilt auch für die Erklärung nach Artikel 3 Satz 2.</w:t>
      </w:r>
    </w:p>
    <w:p>
      <w:r>
        <w:rPr>
          <w:color w:val="555555"/>
          <w:sz w:val="17"/>
        </w:rPr>
        <w:t xml:space="preserve">Zitiervorschlag: Art 5 StVLBestAufs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https://recht.nulegal.eu/gesetze/StVLBestAufs/5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