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StVLBestAufs (Bayern)</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Bayern</w:t>
      </w:r>
    </w:p>
    <w:p>
      <w:r>
        <w:rPr>
          <w:color w:val="555555"/>
          <w:sz w:val="18"/>
        </w:rPr>
        <w:t xml:space="preserve">Stand: 27.08.2026 (konsolidierte Textfassung, kein amtliches Inkrafttretensdatum)</w:t>
      </w:r>
    </w:p>
    <w:p>
      <w:r>
        <w:t xml:space="preserve">Dieser Staatsvertrag kann von jedem Land durch schriftliche Erklärung gegenüber den übrigen Ländern zum Schluß eines Kalenderjahres mit einer Frist von einem Jahr gekündigt werden. Zwischen den übrigen Ländern bleibt der Staatsvertrag in Kraft.</w:t>
      </w:r>
    </w:p>
    <w:p>
      <w:r>
        <w:rPr>
          <w:color w:val="555555"/>
          <w:sz w:val="17"/>
        </w:rPr>
        <w:t xml:space="preserve">Zitiervorschlag: Art 4 StVLBestAufs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https://recht.nulegal.eu/gesetze/StVLBestAufs/4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