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StVGUeLStV (Bayern) — Ausstattung</w:t>
      </w:r>
    </w:p>
    <w:p>
      <w:r>
        <w:rPr>
          <w:color w:val="555555"/>
          <w:sz w:val="18"/>
        </w:rPr>
        <w:t xml:space="preserve">Staatsvertrag über die Einrichtung einer Gemeinsamen elektronischen Überwachungsstelle der Länder Vom 19. Mai / 29. August 2011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 Hessen stellt die Räumlichkeiten und die Sachausstattung zur Verfügung, die für den Betrieb der GÜL erforderlich sind. Hierzu zählt auch unterstützendes Personal.</w:t>
      </w:r>
    </w:p>
    <w:p>
      <w:r>
        <w:rPr>
          <w:color w:val="555555"/>
          <w:sz w:val="17"/>
        </w:rPr>
        <w:t xml:space="preserve">Zitiervorschlag: Art 6 StVGUeLStV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https://recht.nulegal.eu/gesetze/StVGUeLStV/6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