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StVGUeLStV (Bayern) — Inkrafttreten</w:t>
      </w:r>
    </w:p>
    <w:p>
      <w:r>
        <w:rPr>
          <w:color w:val="555555"/>
          <w:sz w:val="18"/>
        </w:rPr>
        <w:t xml:space="preserve">Staatsvertrag über die Einrichtung einer Gemeinsamen elektronischen Überwachungsstelle der Länder Vom 19. Mai / 29. August 2011</w:t>
      </w:r>
    </w:p>
    <w:p>
      <w:r>
        <w:rPr>
          <w:color w:val="555555"/>
          <w:sz w:val="18"/>
        </w:rPr>
        <w:t xml:space="preserve">Landesrecht Bayern</w:t>
      </w:r>
    </w:p>
    <w:p>
      <w:r>
        <w:rPr>
          <w:color w:val="555555"/>
          <w:sz w:val="18"/>
        </w:rPr>
        <w:t xml:space="preserve">Stand: 25.08.2026 (konsolidierte Textfassung, kein amtliches Inkrafttretensdatum)</w:t>
      </w:r>
    </w:p>
    <w:p>
      <w:r>
        <w:t xml:space="preserve">Der Vertrag bedarf der Ratifikation. Er tritt am Ersten des Monats in Kraft, der auf den Monat folgt, in dem die Ratifikationsurkunden von den vertragsschließenden Ländern beim Hessischen Ministerium der Justiz, für Integration und Europa hinterlegt worden sind. Das Hessische Ministerium der Justiz, für Integration und Europa teilt den übrigen beteiligten Ländern den Zeitpunkt der Hinterlegung der letzten Ratifikationsurkunde mit.</w:t>
      </w:r>
    </w:p>
    <w:p>
      <w:r>
        <w:rPr>
          <w:color w:val="555555"/>
          <w:sz w:val="17"/>
        </w:rPr>
        <w:t xml:space="preserve">Zitiervorschlag: Art 10 StVGUeLStV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https://recht.nulegal.eu/gesetze/StVGUeLStV/10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