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StVGGebEÜV (Brandenburg)</w:t>
      </w:r>
    </w:p>
    <w:p>
      <w:r>
        <w:rPr>
          <w:color w:val="555555"/>
          <w:sz w:val="18"/>
        </w:rPr>
        <w:t xml:space="preserve">StVG-Gebührenermächtigungs-Übertragungsverordnung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Ermächtigung zum Erlass von Gebührenordnungen nach § 6 a Abs. 6 Satz 1 bis 3 und Abs. 7 des Straßenverkehrsgesetzes wird auf die kreisfreien Städte, Ämter, amtsfreien Gemeinden, Verbandsgemeinden, mitverwaltenden und mitverwalteten Gemeinden übertragen.</w:t>
      </w:r>
    </w:p>
    <w:p>
      <w:r>
        <w:rPr>
          <w:color w:val="555555"/>
          <w:sz w:val="17"/>
        </w:rPr>
        <w:t xml:space="preserve">Zitiervorschlag: § 1 StVGGebEÜV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https://recht.nulegal.eu/gesetze/StVGGebE%C3%9CV/1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